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38C6" w14:textId="52E883BF" w:rsidR="000E0A19" w:rsidRDefault="000E0A19" w:rsidP="000E4153">
      <w:pPr>
        <w:spacing w:after="200" w:line="259" w:lineRule="atLeast"/>
        <w:ind w:leftChars="225" w:left="450" w:rightChars="180" w:right="360" w:firstLine="540"/>
        <w:jc w:val="both"/>
        <w:rPr>
          <w:rFonts w:ascii="Sylfaen" w:eastAsiaTheme="majorEastAsia" w:hAnsi="Sylfaen" w:cstheme="majorBidi"/>
          <w:sz w:val="24"/>
          <w:szCs w:val="24"/>
          <w:lang w:val="ka-GE"/>
        </w:rPr>
      </w:pPr>
      <w:r>
        <w:rPr>
          <w:rFonts w:ascii="Sylfaen" w:eastAsiaTheme="majorEastAsia" w:hAnsi="Sylfaen" w:cstheme="majorBidi"/>
          <w:sz w:val="24"/>
          <w:szCs w:val="24"/>
          <w:lang w:val="ka-GE"/>
        </w:rPr>
        <w:t>ახალი მომხმარებლის გამანაწილებელ ქსელზე მიერთება რეგულირდება საქართველოს</w:t>
      </w:r>
      <w:r w:rsidR="000E4153">
        <w:rPr>
          <w:rFonts w:ascii="Sylfaen" w:eastAsiaTheme="majorEastAsia" w:hAnsi="Sylfaen" w:cstheme="majorBidi"/>
          <w:sz w:val="24"/>
          <w:szCs w:val="24"/>
          <w:lang w:val="ka-GE"/>
        </w:rPr>
        <w:t xml:space="preserve"> </w:t>
      </w:r>
      <w:r>
        <w:rPr>
          <w:rFonts w:ascii="Sylfaen" w:eastAsiaTheme="majorEastAsia" w:hAnsi="Sylfaen" w:cstheme="majorBidi"/>
          <w:sz w:val="24"/>
          <w:szCs w:val="24"/>
          <w:lang w:val="ka-GE"/>
        </w:rPr>
        <w:t>ენერგეტიკისა და წყალმომარაგების მარეგულირებელი ეროვნული კომისიის 2009 წლის 9 ივლისის #12 დადგენილებით დამტკიცებული „ბუნებრივი გაზის მიწოდებისა და მოხმარების წესების“  შესაბამისად.</w:t>
      </w:r>
    </w:p>
    <w:p w14:paraId="33B90ADD" w14:textId="4A52B30A" w:rsidR="000E0A19" w:rsidRDefault="000E0A19" w:rsidP="000E4153">
      <w:pPr>
        <w:pStyle w:val="NormalWeb"/>
        <w:shd w:val="clear" w:color="auto" w:fill="FFFFFF"/>
        <w:spacing w:beforeAutospacing="0" w:after="200" w:afterAutospacing="0" w:line="259" w:lineRule="atLeast"/>
        <w:ind w:leftChars="225" w:left="450" w:rightChars="180" w:right="360" w:firstLine="540"/>
        <w:jc w:val="both"/>
        <w:rPr>
          <w:rFonts w:ascii="Sylfaen" w:eastAsiaTheme="majorEastAsia" w:hAnsi="Sylfaen" w:cstheme="majorBidi"/>
          <w:lang w:val="ka-GE"/>
        </w:rPr>
      </w:pPr>
      <w:r>
        <w:rPr>
          <w:rFonts w:ascii="Sylfaen" w:eastAsiaTheme="majorEastAsia" w:hAnsi="Sylfaen" w:cstheme="majorBidi"/>
          <w:lang w:val="ka-GE"/>
        </w:rPr>
        <w:t>იმისათვის, რომ გახდეთ „თბილისი ენერჯი</w:t>
      </w:r>
      <w:r>
        <w:rPr>
          <w:rFonts w:ascii="Sylfaen" w:eastAsiaTheme="majorEastAsia" w:hAnsi="Sylfaen" w:cstheme="majorBidi"/>
          <w:lang w:val="ka-GE"/>
        </w:rPr>
        <w:t>ს“</w:t>
      </w:r>
      <w:r>
        <w:rPr>
          <w:rFonts w:ascii="Sylfaen" w:eastAsiaTheme="majorEastAsia" w:hAnsi="Sylfaen" w:cstheme="majorBidi"/>
          <w:lang w:val="ka-GE"/>
        </w:rPr>
        <w:t> მომხმარებელი (აბონენტი)</w:t>
      </w:r>
      <w:r>
        <w:rPr>
          <w:rFonts w:ascii="Sylfaen" w:eastAsiaTheme="majorEastAsia" w:hAnsi="Sylfaen" w:cstheme="majorBidi"/>
          <w:lang w:val="ka-GE"/>
        </w:rPr>
        <w:t xml:space="preserve">, </w:t>
      </w:r>
      <w:r>
        <w:rPr>
          <w:rFonts w:ascii="Sylfaen" w:eastAsiaTheme="majorEastAsia" w:hAnsi="Sylfaen" w:cstheme="majorBidi"/>
          <w:lang w:val="ka-GE"/>
        </w:rPr>
        <w:t>დაიწყოს თქვენს მისამართზე გაზმომარაგება და დაცული იყოს თქვენი უსაფრთხოება, აუცილებელია:</w:t>
      </w:r>
    </w:p>
    <w:p w14:paraId="4DF3B186" w14:textId="63E43115" w:rsidR="000E0A19" w:rsidRPr="000E0A19" w:rsidRDefault="000E0A19" w:rsidP="000E4153">
      <w:pPr>
        <w:pStyle w:val="ListParagraph"/>
        <w:numPr>
          <w:ilvl w:val="0"/>
          <w:numId w:val="2"/>
        </w:numPr>
        <w:spacing w:after="200" w:line="259" w:lineRule="atLeast"/>
        <w:ind w:leftChars="405" w:left="1170" w:rightChars="180" w:right="360"/>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თქვენი საცხოვრებელი/არასაცხოვრებელი ფართის/უძრავი ქონების</w:t>
      </w:r>
      <w:r>
        <w:rPr>
          <w:rFonts w:ascii="Sylfaen" w:eastAsiaTheme="majorEastAsia" w:hAnsi="Sylfaen" w:cstheme="majorBidi"/>
          <w:sz w:val="24"/>
          <w:szCs w:val="24"/>
          <w:lang w:val="ka-GE"/>
        </w:rPr>
        <w:t xml:space="preserve">, </w:t>
      </w:r>
      <w:r w:rsidRPr="000E0A19">
        <w:rPr>
          <w:rFonts w:ascii="Sylfaen" w:eastAsiaTheme="majorEastAsia" w:hAnsi="Sylfaen" w:cstheme="majorBidi"/>
          <w:sz w:val="24"/>
          <w:szCs w:val="24"/>
          <w:lang w:val="ka-GE"/>
        </w:rPr>
        <w:t>რომლის გაზიფ</w:t>
      </w:r>
      <w:r>
        <w:rPr>
          <w:rFonts w:ascii="Sylfaen" w:eastAsiaTheme="majorEastAsia" w:hAnsi="Sylfaen" w:cstheme="majorBidi"/>
          <w:sz w:val="24"/>
          <w:szCs w:val="24"/>
          <w:lang w:val="ka-GE"/>
        </w:rPr>
        <w:t>ი</w:t>
      </w:r>
      <w:r w:rsidRPr="000E0A19">
        <w:rPr>
          <w:rFonts w:ascii="Sylfaen" w:eastAsiaTheme="majorEastAsia" w:hAnsi="Sylfaen" w:cstheme="majorBidi"/>
          <w:sz w:val="24"/>
          <w:szCs w:val="24"/>
          <w:lang w:val="ka-GE"/>
        </w:rPr>
        <w:t>ცირებაც გსურთ</w:t>
      </w:r>
      <w:r>
        <w:rPr>
          <w:rFonts w:ascii="Sylfaen" w:eastAsiaTheme="majorEastAsia" w:hAnsi="Sylfaen" w:cstheme="majorBidi"/>
          <w:sz w:val="24"/>
          <w:szCs w:val="24"/>
          <w:lang w:val="ka-GE"/>
        </w:rPr>
        <w:t xml:space="preserve">, </w:t>
      </w:r>
      <w:r w:rsidRPr="000E0A19">
        <w:rPr>
          <w:rFonts w:ascii="Sylfaen" w:eastAsiaTheme="majorEastAsia" w:hAnsi="Sylfaen" w:cstheme="majorBidi"/>
          <w:sz w:val="24"/>
          <w:szCs w:val="24"/>
          <w:lang w:val="ka-GE"/>
        </w:rPr>
        <w:t>მშენებლობა იყოს დასრულებული</w:t>
      </w:r>
      <w:r>
        <w:rPr>
          <w:rFonts w:ascii="Sylfaen" w:eastAsiaTheme="majorEastAsia" w:hAnsi="Sylfaen" w:cstheme="majorBidi"/>
          <w:sz w:val="24"/>
          <w:szCs w:val="24"/>
          <w:lang w:val="ka-GE"/>
        </w:rPr>
        <w:t>;</w:t>
      </w:r>
    </w:p>
    <w:p w14:paraId="18EE4975" w14:textId="5F33E963" w:rsidR="000E0A19" w:rsidRPr="000E0A19" w:rsidRDefault="000E0A19" w:rsidP="000E4153">
      <w:pPr>
        <w:pStyle w:val="ListParagraph"/>
        <w:numPr>
          <w:ilvl w:val="0"/>
          <w:numId w:val="2"/>
        </w:numPr>
        <w:spacing w:after="200" w:line="259" w:lineRule="atLeast"/>
        <w:ind w:leftChars="405" w:left="1170" w:rightChars="180" w:right="360"/>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ოთახი, სადაც მონტაჟდება  გაზის დანადგარები, უზრუნველყოფილი იყოს ბუნებრივ</w:t>
      </w:r>
      <w:r>
        <w:rPr>
          <w:rFonts w:ascii="Sylfaen" w:eastAsiaTheme="majorEastAsia" w:hAnsi="Sylfaen" w:cstheme="majorBidi"/>
          <w:sz w:val="24"/>
          <w:szCs w:val="24"/>
          <w:lang w:val="ka-GE"/>
        </w:rPr>
        <w:t>ი</w:t>
      </w:r>
      <w:r w:rsidR="000E4153">
        <w:rPr>
          <w:rFonts w:ascii="Sylfaen" w:eastAsiaTheme="majorEastAsia" w:hAnsi="Sylfaen" w:cstheme="majorBidi"/>
          <w:sz w:val="24"/>
          <w:szCs w:val="24"/>
          <w:lang w:val="ka-GE"/>
        </w:rPr>
        <w:t xml:space="preserve"> </w:t>
      </w:r>
      <w:r w:rsidRPr="000E0A19">
        <w:rPr>
          <w:rFonts w:ascii="Sylfaen" w:eastAsiaTheme="majorEastAsia" w:hAnsi="Sylfaen" w:cstheme="majorBidi"/>
          <w:sz w:val="24"/>
          <w:szCs w:val="24"/>
          <w:lang w:val="ka-GE"/>
        </w:rPr>
        <w:t>განათებით და განიავებით; </w:t>
      </w:r>
    </w:p>
    <w:p w14:paraId="0884D6F0" w14:textId="7CA195FC" w:rsidR="000E0A19" w:rsidRPr="000E0A19" w:rsidRDefault="000E0A19" w:rsidP="000E4153">
      <w:pPr>
        <w:pStyle w:val="ListParagraph"/>
        <w:numPr>
          <w:ilvl w:val="0"/>
          <w:numId w:val="2"/>
        </w:numPr>
        <w:spacing w:after="200" w:line="259" w:lineRule="atLeast"/>
        <w:ind w:leftChars="405" w:left="1170" w:rightChars="180" w:right="360"/>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ფანჯარას ან კარს ჰქონდეს გასანიავებელი პატარა სარკმელი ფანჯრის ზედა ნაწილში  ან </w:t>
      </w:r>
      <w:r w:rsidR="000E4153">
        <w:rPr>
          <w:rFonts w:ascii="Sylfaen" w:eastAsiaTheme="majorEastAsia" w:hAnsi="Sylfaen" w:cstheme="majorBidi"/>
          <w:sz w:val="24"/>
          <w:szCs w:val="24"/>
          <w:lang w:val="ka-GE"/>
        </w:rPr>
        <w:t>გ</w:t>
      </w:r>
      <w:r w:rsidRPr="000E0A19">
        <w:rPr>
          <w:rFonts w:ascii="Sylfaen" w:eastAsiaTheme="majorEastAsia" w:hAnsi="Sylfaen" w:cstheme="majorBidi"/>
          <w:sz w:val="24"/>
          <w:szCs w:val="24"/>
          <w:lang w:val="ka-GE"/>
        </w:rPr>
        <w:t>ადმოკიდება/გადმოკიდების მექანიზმი</w:t>
      </w:r>
      <w:r>
        <w:rPr>
          <w:rFonts w:ascii="Sylfaen" w:eastAsiaTheme="majorEastAsia" w:hAnsi="Sylfaen" w:cstheme="majorBidi"/>
          <w:sz w:val="24"/>
          <w:szCs w:val="24"/>
          <w:lang w:val="ka-GE"/>
        </w:rPr>
        <w:t>;</w:t>
      </w:r>
    </w:p>
    <w:p w14:paraId="6B3668F6" w14:textId="657AC34E" w:rsidR="000E0A19" w:rsidRPr="000E0A19" w:rsidRDefault="000E0A19" w:rsidP="000E4153">
      <w:pPr>
        <w:pStyle w:val="ListParagraph"/>
        <w:numPr>
          <w:ilvl w:val="0"/>
          <w:numId w:val="2"/>
        </w:numPr>
        <w:spacing w:after="200" w:line="259" w:lineRule="atLeast"/>
        <w:ind w:leftChars="405" w:left="1170" w:rightChars="180" w:right="360"/>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ოთახი, სადაც დამონტაჟებულია გაზის დანადგარები, გამოყოფილი იყოს საძინებელი სივრცისგან ტიხრებით</w:t>
      </w:r>
      <w:r>
        <w:rPr>
          <w:rFonts w:ascii="Sylfaen" w:eastAsiaTheme="majorEastAsia" w:hAnsi="Sylfaen" w:cstheme="majorBidi"/>
          <w:sz w:val="24"/>
          <w:szCs w:val="24"/>
          <w:lang w:val="ka-GE"/>
        </w:rPr>
        <w:t>ა</w:t>
      </w:r>
      <w:r w:rsidRPr="000E0A19">
        <w:rPr>
          <w:rFonts w:ascii="Sylfaen" w:eastAsiaTheme="majorEastAsia" w:hAnsi="Sylfaen" w:cstheme="majorBidi"/>
          <w:sz w:val="24"/>
          <w:szCs w:val="24"/>
          <w:lang w:val="ka-GE"/>
        </w:rPr>
        <w:t> და კარით;</w:t>
      </w:r>
    </w:p>
    <w:p w14:paraId="216592EA" w14:textId="38457A61" w:rsidR="000E0A19" w:rsidRDefault="000E0A19" w:rsidP="000E4153">
      <w:pPr>
        <w:pStyle w:val="ListParagraph"/>
        <w:numPr>
          <w:ilvl w:val="0"/>
          <w:numId w:val="2"/>
        </w:numPr>
        <w:spacing w:after="200" w:line="259" w:lineRule="atLeast"/>
        <w:ind w:leftChars="405" w:left="1170" w:rightChars="180" w:right="360"/>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საჯარო რეესტრში ფართი იყოს დარეგისტრირებული საცხოვრებლად ან არასაცხოვრ</w:t>
      </w:r>
      <w:r>
        <w:rPr>
          <w:rFonts w:ascii="Sylfaen" w:eastAsiaTheme="majorEastAsia" w:hAnsi="Sylfaen" w:cstheme="majorBidi"/>
          <w:sz w:val="24"/>
          <w:szCs w:val="24"/>
          <w:lang w:val="ka-GE"/>
        </w:rPr>
        <w:t>ე</w:t>
      </w:r>
      <w:r w:rsidRPr="000E0A19">
        <w:rPr>
          <w:rFonts w:ascii="Sylfaen" w:eastAsiaTheme="majorEastAsia" w:hAnsi="Sylfaen" w:cstheme="majorBidi"/>
          <w:sz w:val="24"/>
          <w:szCs w:val="24"/>
          <w:lang w:val="ka-GE"/>
        </w:rPr>
        <w:t>ბლად.</w:t>
      </w:r>
    </w:p>
    <w:p w14:paraId="7CCFE9A8" w14:textId="1604CD24" w:rsidR="000E0A19" w:rsidRPr="000E0A19" w:rsidRDefault="000E0A19" w:rsidP="000E4153">
      <w:pPr>
        <w:spacing w:after="200" w:line="259" w:lineRule="atLeast"/>
        <w:ind w:leftChars="225" w:left="450" w:rightChars="180" w:right="360" w:firstLine="540"/>
        <w:jc w:val="both"/>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გარდა ამ ძირითადი მოთხოვნებისა, ადგილზე შესწავლის დროს, თქვენს მიერ შერჩეული გაზის დანადგარების ტექნიკური მახასიათებლებიდან და ადგილზე არსებული მდგომარეობიდან გამომდინარე, პროექტირების ეტაპზე დადგინდება დამატებით რა ტექნიკური მოთხოვნების შესრულება იქნება გასათვალისწინებელი გაზიფიცირებისათვის (მაგ.</w:t>
      </w:r>
      <w:r>
        <w:rPr>
          <w:rFonts w:ascii="Sylfaen" w:eastAsiaTheme="majorEastAsia" w:hAnsi="Sylfaen" w:cstheme="majorBidi"/>
          <w:sz w:val="24"/>
          <w:szCs w:val="24"/>
          <w:lang w:val="ka-GE"/>
        </w:rPr>
        <w:t>:</w:t>
      </w:r>
      <w:r w:rsidRPr="000E0A19">
        <w:rPr>
          <w:rFonts w:ascii="Sylfaen" w:eastAsiaTheme="majorEastAsia" w:hAnsi="Sylfaen" w:cstheme="majorBidi"/>
          <w:sz w:val="24"/>
          <w:szCs w:val="24"/>
          <w:lang w:val="ka-GE"/>
        </w:rPr>
        <w:t xml:space="preserve"> საჭირო იქნება თუ არა სავენტილაციო მილის მოწყობა და ა.შ.)</w:t>
      </w:r>
      <w:r>
        <w:rPr>
          <w:rFonts w:ascii="Sylfaen" w:eastAsiaTheme="majorEastAsia" w:hAnsi="Sylfaen" w:cstheme="majorBidi"/>
          <w:sz w:val="24"/>
          <w:szCs w:val="24"/>
          <w:lang w:val="ka-GE"/>
        </w:rPr>
        <w:t>.</w:t>
      </w:r>
      <w:r w:rsidRPr="000E0A19">
        <w:rPr>
          <w:rFonts w:ascii="Sylfaen" w:eastAsiaTheme="majorEastAsia" w:hAnsi="Sylfaen" w:cstheme="majorBidi"/>
          <w:sz w:val="24"/>
          <w:szCs w:val="24"/>
          <w:lang w:val="ka-GE"/>
        </w:rPr>
        <w:t xml:space="preserve">  </w:t>
      </w:r>
    </w:p>
    <w:p w14:paraId="5C74B500" w14:textId="7815AE49" w:rsidR="000E0A19" w:rsidRDefault="000E0A19" w:rsidP="000E4153">
      <w:pPr>
        <w:spacing w:after="200" w:line="259" w:lineRule="atLeast"/>
        <w:ind w:leftChars="225" w:left="450" w:rightChars="180" w:right="360" w:firstLine="540"/>
        <w:jc w:val="both"/>
        <w:rPr>
          <w:rFonts w:ascii="Sylfaen" w:eastAsiaTheme="majorEastAsia" w:hAnsi="Sylfaen" w:cstheme="majorBidi"/>
          <w:sz w:val="24"/>
          <w:szCs w:val="24"/>
          <w:lang w:val="ka-GE"/>
        </w:rPr>
      </w:pPr>
      <w:r w:rsidRPr="000E0A19">
        <w:rPr>
          <w:rFonts w:ascii="Sylfaen" w:eastAsiaTheme="majorEastAsia" w:hAnsi="Sylfaen" w:cstheme="majorBidi"/>
          <w:sz w:val="24"/>
          <w:szCs w:val="24"/>
          <w:lang w:val="ka-GE"/>
        </w:rPr>
        <w:t>მიერთების მსურველი ვალდებულია წარადგინოს</w:t>
      </w:r>
      <w:r w:rsidR="000E4153">
        <w:rPr>
          <w:rFonts w:ascii="Sylfaen" w:eastAsiaTheme="majorEastAsia" w:hAnsi="Sylfaen" w:cstheme="majorBidi"/>
          <w:sz w:val="24"/>
          <w:szCs w:val="24"/>
          <w:lang w:val="ka-GE"/>
        </w:rPr>
        <w:t xml:space="preserve"> კომპანიაში</w:t>
      </w:r>
      <w:r w:rsidRPr="000E0A19">
        <w:rPr>
          <w:rFonts w:ascii="Sylfaen" w:eastAsiaTheme="majorEastAsia" w:hAnsi="Sylfaen" w:cstheme="majorBidi"/>
          <w:sz w:val="24"/>
          <w:szCs w:val="24"/>
          <w:lang w:val="ka-GE"/>
        </w:rPr>
        <w:t xml:space="preserve"> შიდა ქსელის გაზმომარაგებისთვის მზადყოფნის დოკუმენტი. მიერთების დასრულებამდე აღნიშნული დოკუმენტის წარმოუდგენლობის შემთხვევაში გაზმომარაგება არ დაიწყება.</w:t>
      </w:r>
    </w:p>
    <w:p w14:paraId="4309F591" w14:textId="77777777" w:rsidR="000E4153" w:rsidRDefault="00481DDD" w:rsidP="00F7085C">
      <w:pPr>
        <w:spacing w:after="200" w:line="259" w:lineRule="atLeast"/>
        <w:ind w:leftChars="270" w:left="540" w:rightChars="180" w:right="360" w:firstLine="450"/>
        <w:jc w:val="both"/>
        <w:rPr>
          <w:rFonts w:ascii="Sylfaen" w:eastAsiaTheme="majorEastAsia" w:hAnsi="Sylfaen" w:cstheme="majorBidi"/>
          <w:sz w:val="24"/>
          <w:szCs w:val="24"/>
          <w:lang w:val="ka-GE"/>
        </w:rPr>
      </w:pPr>
      <w:r>
        <w:rPr>
          <w:rFonts w:ascii="Sylfaen" w:eastAsiaTheme="majorEastAsia" w:hAnsi="Sylfaen" w:cstheme="majorBidi"/>
          <w:sz w:val="24"/>
          <w:szCs w:val="24"/>
          <w:lang w:val="ka-GE"/>
        </w:rPr>
        <w:t xml:space="preserve">გაზიფიცირების მსურველმა კომპანიაში განაცხადი უნდა დააფიქსიროს წერილობით. განცხადების ფორმა დამტკიცებულია სახელმწიფო მარეგულირებლის მიერ და განთავსებულია მომხმარებლის პირად კაბინეტში. კაბინეტში რეგისტრაცია მარტივია და მოხერხებული, რის შემდეგაც თქვენ შეძლებთ ბუნებრივი გაზის მოხმარებასთან დაკავშირებული ნებისმიერი სერვისის მართვას (ვებ-გვერდი: </w:t>
      </w:r>
      <w:hyperlink r:id="rId5" w:history="1">
        <w:r w:rsidRPr="006805A4">
          <w:rPr>
            <w:rStyle w:val="Hyperlink"/>
            <w:rFonts w:ascii="Sylfaen" w:eastAsiaTheme="majorEastAsia" w:hAnsi="Sylfaen" w:cstheme="majorBidi"/>
            <w:sz w:val="24"/>
            <w:szCs w:val="24"/>
            <w:lang w:val="ka-GE"/>
          </w:rPr>
          <w:t>https://my.te.ge/login</w:t>
        </w:r>
      </w:hyperlink>
      <w:r>
        <w:rPr>
          <w:rFonts w:ascii="Sylfaen" w:eastAsiaTheme="majorEastAsia" w:hAnsi="Sylfaen" w:cstheme="majorBidi"/>
          <w:sz w:val="24"/>
          <w:szCs w:val="24"/>
        </w:rPr>
        <w:t xml:space="preserve"> </w:t>
      </w:r>
      <w:r w:rsidRPr="00481DDD">
        <w:rPr>
          <w:rFonts w:ascii="Sylfaen" w:eastAsiaTheme="majorEastAsia" w:hAnsi="Sylfaen" w:cstheme="majorBidi"/>
          <w:sz w:val="24"/>
          <w:szCs w:val="24"/>
        </w:rPr>
        <w:t xml:space="preserve">Android:  </w:t>
      </w:r>
      <w:hyperlink r:id="rId6" w:history="1">
        <w:r w:rsidRPr="006805A4">
          <w:rPr>
            <w:rStyle w:val="Hyperlink"/>
            <w:rFonts w:ascii="Sylfaen" w:eastAsiaTheme="majorEastAsia" w:hAnsi="Sylfaen" w:cstheme="majorBidi"/>
            <w:sz w:val="24"/>
            <w:szCs w:val="24"/>
          </w:rPr>
          <w:t>https://my.te.ge/android</w:t>
        </w:r>
      </w:hyperlink>
      <w:r>
        <w:rPr>
          <w:rFonts w:ascii="Sylfaen" w:eastAsiaTheme="majorEastAsia" w:hAnsi="Sylfaen" w:cstheme="majorBidi"/>
          <w:sz w:val="24"/>
          <w:szCs w:val="24"/>
          <w:lang w:val="ka-GE"/>
        </w:rPr>
        <w:t>,</w:t>
      </w:r>
      <w:r w:rsidRPr="00481DDD">
        <w:rPr>
          <w:rFonts w:ascii="Sylfaen" w:eastAsiaTheme="majorEastAsia" w:hAnsi="Sylfaen" w:cstheme="majorBidi"/>
          <w:sz w:val="24"/>
          <w:szCs w:val="24"/>
        </w:rPr>
        <w:t xml:space="preserve"> I</w:t>
      </w:r>
      <w:r>
        <w:rPr>
          <w:rFonts w:ascii="Sylfaen" w:eastAsiaTheme="majorEastAsia" w:hAnsi="Sylfaen" w:cstheme="majorBidi"/>
          <w:sz w:val="24"/>
          <w:szCs w:val="24"/>
        </w:rPr>
        <w:t>OS</w:t>
      </w:r>
      <w:r w:rsidRPr="00481DDD">
        <w:rPr>
          <w:rFonts w:ascii="Sylfaen" w:eastAsiaTheme="majorEastAsia" w:hAnsi="Sylfaen" w:cstheme="majorBidi"/>
          <w:sz w:val="24"/>
          <w:szCs w:val="24"/>
        </w:rPr>
        <w:t xml:space="preserve">: </w:t>
      </w:r>
      <w:hyperlink r:id="rId7" w:history="1">
        <w:r w:rsidRPr="006805A4">
          <w:rPr>
            <w:rStyle w:val="Hyperlink"/>
            <w:rFonts w:ascii="Sylfaen" w:eastAsiaTheme="majorEastAsia" w:hAnsi="Sylfaen" w:cstheme="majorBidi"/>
            <w:sz w:val="24"/>
            <w:szCs w:val="24"/>
          </w:rPr>
          <w:t>https://my.te.ge/ios</w:t>
        </w:r>
      </w:hyperlink>
      <w:r>
        <w:rPr>
          <w:rFonts w:ascii="Sylfaen" w:eastAsiaTheme="majorEastAsia" w:hAnsi="Sylfaen" w:cstheme="majorBidi"/>
          <w:sz w:val="24"/>
          <w:szCs w:val="24"/>
        </w:rPr>
        <w:t>).</w:t>
      </w:r>
      <w:r w:rsidR="00B123EF">
        <w:rPr>
          <w:rFonts w:ascii="Sylfaen" w:eastAsiaTheme="majorEastAsia" w:hAnsi="Sylfaen" w:cstheme="majorBidi"/>
          <w:sz w:val="24"/>
          <w:szCs w:val="24"/>
          <w:lang w:val="ka-GE"/>
        </w:rPr>
        <w:t xml:space="preserve"> განცხადება ასევე შესაძლებელია შეავსოთ კომპანიის მომსახურების ნებისმიერ ოფისში, რომელთა მისამართები შეგიძლიათ იხილოთ ბმულზე </w:t>
      </w:r>
      <w:hyperlink r:id="rId8" w:history="1">
        <w:r w:rsidR="00B123EF" w:rsidRPr="00B123EF">
          <w:rPr>
            <w:rStyle w:val="Hyperlink"/>
            <w:rFonts w:ascii="Sylfaen" w:eastAsiaTheme="majorEastAsia" w:hAnsi="Sylfaen" w:cstheme="majorBidi"/>
            <w:color w:val="auto"/>
            <w:sz w:val="24"/>
            <w:szCs w:val="24"/>
          </w:rPr>
          <w:t>https://te.ge/ka/contact.html</w:t>
        </w:r>
      </w:hyperlink>
      <w:r w:rsidR="00B123EF" w:rsidRPr="00B123EF">
        <w:rPr>
          <w:rFonts w:ascii="Sylfaen" w:eastAsiaTheme="majorEastAsia" w:hAnsi="Sylfaen" w:cstheme="majorBidi"/>
          <w:sz w:val="24"/>
          <w:szCs w:val="24"/>
        </w:rPr>
        <w:t>)</w:t>
      </w:r>
      <w:r w:rsidR="00B123EF">
        <w:rPr>
          <w:rFonts w:ascii="Sylfaen" w:eastAsiaTheme="majorEastAsia" w:hAnsi="Sylfaen" w:cstheme="majorBidi"/>
          <w:sz w:val="24"/>
          <w:szCs w:val="24"/>
          <w:lang w:val="ka-GE"/>
        </w:rPr>
        <w:t>.</w:t>
      </w:r>
      <w:r w:rsidR="000E4153">
        <w:rPr>
          <w:rFonts w:ascii="Sylfaen" w:eastAsiaTheme="majorEastAsia" w:hAnsi="Sylfaen" w:cstheme="majorBidi"/>
          <w:sz w:val="24"/>
          <w:szCs w:val="24"/>
          <w:lang w:val="ka-GE"/>
        </w:rPr>
        <w:t xml:space="preserve"> </w:t>
      </w:r>
      <w:r>
        <w:rPr>
          <w:rFonts w:ascii="Sylfaen" w:eastAsiaTheme="majorEastAsia" w:hAnsi="Sylfaen" w:cstheme="majorBidi"/>
          <w:sz w:val="24"/>
          <w:szCs w:val="24"/>
          <w:lang w:val="ka-GE"/>
        </w:rPr>
        <w:t xml:space="preserve">მომხმარებლის პირად კაბინეტში ქსელზე მიერთებას შეეხება </w:t>
      </w:r>
      <w:r>
        <w:rPr>
          <w:rFonts w:ascii="Sylfaen" w:eastAsiaTheme="majorEastAsia" w:hAnsi="Sylfaen" w:cstheme="majorBidi"/>
          <w:sz w:val="24"/>
          <w:szCs w:val="24"/>
        </w:rPr>
        <w:t xml:space="preserve">I, II </w:t>
      </w:r>
      <w:r>
        <w:rPr>
          <w:rFonts w:ascii="Sylfaen" w:eastAsiaTheme="majorEastAsia" w:hAnsi="Sylfaen" w:cstheme="majorBidi"/>
          <w:sz w:val="24"/>
          <w:szCs w:val="24"/>
          <w:lang w:val="ka-GE"/>
        </w:rPr>
        <w:t xml:space="preserve">და </w:t>
      </w:r>
      <w:r>
        <w:rPr>
          <w:rFonts w:ascii="Sylfaen" w:eastAsiaTheme="majorEastAsia" w:hAnsi="Sylfaen" w:cstheme="majorBidi"/>
          <w:sz w:val="24"/>
          <w:szCs w:val="24"/>
        </w:rPr>
        <w:t xml:space="preserve">III </w:t>
      </w:r>
      <w:r>
        <w:rPr>
          <w:rFonts w:ascii="Sylfaen" w:eastAsiaTheme="majorEastAsia" w:hAnsi="Sylfaen" w:cstheme="majorBidi"/>
          <w:sz w:val="24"/>
          <w:szCs w:val="24"/>
          <w:lang w:val="ka-GE"/>
        </w:rPr>
        <w:t xml:space="preserve">განცხადების ფორმები. </w:t>
      </w:r>
    </w:p>
    <w:p w14:paraId="5153C89E" w14:textId="703E862E" w:rsidR="00481DDD" w:rsidRDefault="00481DDD" w:rsidP="00F7085C">
      <w:pPr>
        <w:spacing w:after="200" w:line="259" w:lineRule="atLeast"/>
        <w:ind w:leftChars="270" w:left="540" w:rightChars="180" w:right="360" w:firstLine="360"/>
        <w:jc w:val="both"/>
        <w:rPr>
          <w:rFonts w:ascii="Sylfaen" w:eastAsiaTheme="majorEastAsia" w:hAnsi="Sylfaen" w:cstheme="majorBidi"/>
          <w:sz w:val="24"/>
          <w:szCs w:val="24"/>
          <w:lang w:val="ka-GE"/>
        </w:rPr>
      </w:pPr>
      <w:r>
        <w:rPr>
          <w:rFonts w:ascii="Sylfaen" w:eastAsiaTheme="majorEastAsia" w:hAnsi="Sylfaen" w:cstheme="majorBidi"/>
          <w:sz w:val="24"/>
          <w:szCs w:val="24"/>
          <w:lang w:val="ka-GE"/>
        </w:rPr>
        <w:t>განაცხადით მომართვისას</w:t>
      </w:r>
      <w:r w:rsidR="00B123EF">
        <w:rPr>
          <w:rFonts w:ascii="Sylfaen" w:eastAsiaTheme="majorEastAsia" w:hAnsi="Sylfaen" w:cstheme="majorBidi"/>
          <w:sz w:val="24"/>
          <w:szCs w:val="24"/>
          <w:lang w:val="ka-GE"/>
        </w:rPr>
        <w:t xml:space="preserve">, იმისათვის, რომ თავიდან იქნას აცილებული მისი შესაძლო დახარვეზება, „თბილისი ენერჯი“ გასცემს რეკომენდაციას, რომ </w:t>
      </w:r>
      <w:r>
        <w:rPr>
          <w:rFonts w:ascii="Sylfaen" w:eastAsiaTheme="majorEastAsia" w:hAnsi="Sylfaen" w:cstheme="majorBidi"/>
          <w:sz w:val="24"/>
          <w:szCs w:val="24"/>
          <w:lang w:val="ka-GE"/>
        </w:rPr>
        <w:t>გან</w:t>
      </w:r>
      <w:r w:rsidR="00D2535B">
        <w:rPr>
          <w:rFonts w:ascii="Sylfaen" w:eastAsiaTheme="majorEastAsia" w:hAnsi="Sylfaen" w:cstheme="majorBidi"/>
          <w:sz w:val="24"/>
          <w:szCs w:val="24"/>
          <w:lang w:val="ka-GE"/>
        </w:rPr>
        <w:t>მ</w:t>
      </w:r>
      <w:r>
        <w:rPr>
          <w:rFonts w:ascii="Sylfaen" w:eastAsiaTheme="majorEastAsia" w:hAnsi="Sylfaen" w:cstheme="majorBidi"/>
          <w:sz w:val="24"/>
          <w:szCs w:val="24"/>
          <w:lang w:val="ka-GE"/>
        </w:rPr>
        <w:t>ცხადებელმა გაითვალისწინოს:</w:t>
      </w:r>
    </w:p>
    <w:p w14:paraId="4DA64E7F" w14:textId="19AAB14E" w:rsidR="00481DDD" w:rsidRPr="00481DDD" w:rsidRDefault="00B123EF" w:rsidP="000E4153">
      <w:pPr>
        <w:pStyle w:val="ListParagraph"/>
        <w:numPr>
          <w:ilvl w:val="0"/>
          <w:numId w:val="3"/>
        </w:numPr>
        <w:spacing w:after="200" w:line="259" w:lineRule="atLeast"/>
        <w:ind w:leftChars="405" w:left="1170" w:rightChars="180" w:right="360"/>
        <w:jc w:val="both"/>
        <w:rPr>
          <w:rFonts w:ascii="Sylfaen" w:eastAsiaTheme="majorEastAsia" w:hAnsi="Sylfaen" w:cstheme="majorBidi"/>
          <w:sz w:val="24"/>
          <w:szCs w:val="24"/>
        </w:rPr>
      </w:pPr>
      <w:r>
        <w:rPr>
          <w:rFonts w:ascii="Sylfaen" w:eastAsiaTheme="majorEastAsia" w:hAnsi="Sylfaen" w:cstheme="majorBidi"/>
          <w:sz w:val="24"/>
          <w:szCs w:val="24"/>
          <w:lang w:val="ka-GE"/>
        </w:rPr>
        <w:lastRenderedPageBreak/>
        <w:t>არის თუ არა იგი</w:t>
      </w:r>
      <w:r w:rsidR="00481DDD" w:rsidRPr="00481DDD">
        <w:rPr>
          <w:rFonts w:ascii="Sylfaen" w:eastAsiaTheme="majorEastAsia" w:hAnsi="Sylfaen" w:cstheme="majorBidi"/>
          <w:sz w:val="24"/>
          <w:szCs w:val="24"/>
        </w:rPr>
        <w:t xml:space="preserve"> ფართის მესაკუთრე ან მისი უფლებამოსილი წარმომადგენელი</w:t>
      </w:r>
      <w:r>
        <w:rPr>
          <w:rFonts w:ascii="Sylfaen" w:eastAsiaTheme="majorEastAsia" w:hAnsi="Sylfaen" w:cstheme="majorBidi"/>
          <w:sz w:val="24"/>
          <w:szCs w:val="24"/>
          <w:lang w:val="ka-GE"/>
        </w:rPr>
        <w:t xml:space="preserve"> - ამ შემთხვევაში აუცილებელია ფართის </w:t>
      </w:r>
      <w:r w:rsidRPr="00B123EF">
        <w:rPr>
          <w:rFonts w:ascii="Sylfaen" w:eastAsiaTheme="majorEastAsia" w:hAnsi="Sylfaen" w:cstheme="majorBidi"/>
          <w:sz w:val="24"/>
          <w:szCs w:val="24"/>
          <w:lang w:val="ka-GE"/>
        </w:rPr>
        <w:t>ფლობის შესაბამისი წესით გაცემული უფლებამოსილების დამადასტურებელი დოკუმენტი</w:t>
      </w:r>
      <w:r>
        <w:rPr>
          <w:rFonts w:ascii="Sylfaen" w:eastAsiaTheme="majorEastAsia" w:hAnsi="Sylfaen" w:cstheme="majorBidi"/>
          <w:sz w:val="24"/>
          <w:szCs w:val="24"/>
          <w:lang w:val="ka-GE"/>
        </w:rPr>
        <w:t>ს წარმოდგენა;</w:t>
      </w:r>
    </w:p>
    <w:p w14:paraId="001E3103" w14:textId="65C0BF7C" w:rsidR="00481DDD" w:rsidRPr="00481DDD" w:rsidRDefault="00481DDD" w:rsidP="000E4153">
      <w:pPr>
        <w:pStyle w:val="ListParagraph"/>
        <w:numPr>
          <w:ilvl w:val="0"/>
          <w:numId w:val="3"/>
        </w:numPr>
        <w:spacing w:after="200" w:line="259" w:lineRule="atLeast"/>
        <w:ind w:leftChars="405" w:left="1170" w:rightChars="180" w:right="360"/>
        <w:jc w:val="both"/>
        <w:rPr>
          <w:rFonts w:ascii="Sylfaen" w:eastAsiaTheme="majorEastAsia" w:hAnsi="Sylfaen" w:cstheme="majorBidi"/>
          <w:sz w:val="24"/>
          <w:szCs w:val="24"/>
        </w:rPr>
      </w:pPr>
      <w:r w:rsidRPr="00481DDD">
        <w:rPr>
          <w:rFonts w:ascii="Sylfaen" w:eastAsiaTheme="majorEastAsia" w:hAnsi="Sylfaen" w:cstheme="majorBidi"/>
          <w:sz w:val="24"/>
          <w:szCs w:val="24"/>
        </w:rPr>
        <w:t>გსურთ ისეთი ობიექტის გაზგამანაწილებელ ქსელზე მიერთება, რომლის მიერ მოხმარებული სიმძლავრე არ აღემატება 100 კუბ.მ/სთ</w:t>
      </w:r>
      <w:r w:rsidR="00B123EF">
        <w:rPr>
          <w:rFonts w:ascii="Sylfaen" w:eastAsiaTheme="majorEastAsia" w:hAnsi="Sylfaen" w:cstheme="majorBidi"/>
          <w:sz w:val="24"/>
          <w:szCs w:val="24"/>
          <w:lang w:val="ka-GE"/>
        </w:rPr>
        <w:t>, რადგან აღნიშნული სიმძლავრის საფეხურზე მაღალი სიმძლავრის მოთხოვნა რეგულირდება ურთიერთშეთანხმებით დამკვეთსა და კომპანიას შორის;</w:t>
      </w:r>
    </w:p>
    <w:p w14:paraId="214AEF86" w14:textId="6241A680" w:rsidR="00481DDD" w:rsidRPr="00481DDD" w:rsidRDefault="00481DDD" w:rsidP="000E4153">
      <w:pPr>
        <w:pStyle w:val="ListParagraph"/>
        <w:numPr>
          <w:ilvl w:val="0"/>
          <w:numId w:val="3"/>
        </w:numPr>
        <w:spacing w:after="200" w:line="259" w:lineRule="atLeast"/>
        <w:ind w:leftChars="405" w:left="1170" w:rightChars="180" w:right="360"/>
        <w:jc w:val="both"/>
        <w:rPr>
          <w:rFonts w:ascii="Sylfaen" w:eastAsiaTheme="majorEastAsia" w:hAnsi="Sylfaen" w:cstheme="majorBidi"/>
          <w:sz w:val="24"/>
          <w:szCs w:val="24"/>
        </w:rPr>
      </w:pPr>
      <w:r w:rsidRPr="00481DDD">
        <w:rPr>
          <w:rFonts w:ascii="Sylfaen" w:eastAsiaTheme="majorEastAsia" w:hAnsi="Sylfaen" w:cstheme="majorBidi"/>
          <w:sz w:val="24"/>
          <w:szCs w:val="24"/>
        </w:rPr>
        <w:t>მისაერთებელი უძრავი ქონება არ არის კომპანიის</w:t>
      </w:r>
      <w:r w:rsidR="00B123EF">
        <w:rPr>
          <w:rFonts w:ascii="Sylfaen" w:eastAsiaTheme="majorEastAsia" w:hAnsi="Sylfaen" w:cstheme="majorBidi"/>
          <w:sz w:val="24"/>
          <w:szCs w:val="24"/>
          <w:lang w:val="ka-GE"/>
        </w:rPr>
        <w:t xml:space="preserve"> მიერ უკვე</w:t>
      </w:r>
      <w:r w:rsidRPr="00481DDD">
        <w:rPr>
          <w:rFonts w:ascii="Sylfaen" w:eastAsiaTheme="majorEastAsia" w:hAnsi="Sylfaen" w:cstheme="majorBidi"/>
          <w:sz w:val="24"/>
          <w:szCs w:val="24"/>
        </w:rPr>
        <w:t xml:space="preserve"> რეგისტრირებული აბონენტი, გარდა არასაცხოვრებელი ფართისა, რომელსაც 10 წლის განმავლობაში არ მოუხმარია ბუნებრივი გაზი და არც მოუმართავს კომპანიისთვის მომარაგების აღდგენის შესახებ</w:t>
      </w:r>
      <w:r w:rsidR="00B123EF">
        <w:rPr>
          <w:rFonts w:ascii="Sylfaen" w:eastAsiaTheme="majorEastAsia" w:hAnsi="Sylfaen" w:cstheme="majorBidi"/>
          <w:sz w:val="24"/>
          <w:szCs w:val="24"/>
          <w:lang w:val="ka-GE"/>
        </w:rPr>
        <w:t>;</w:t>
      </w:r>
    </w:p>
    <w:p w14:paraId="52D39A55" w14:textId="4A6013AF" w:rsidR="00481DDD" w:rsidRPr="00B123EF" w:rsidRDefault="00481DDD" w:rsidP="000E4153">
      <w:pPr>
        <w:pStyle w:val="ListParagraph"/>
        <w:numPr>
          <w:ilvl w:val="0"/>
          <w:numId w:val="3"/>
        </w:numPr>
        <w:spacing w:after="200" w:line="259" w:lineRule="atLeast"/>
        <w:ind w:leftChars="405" w:left="1170" w:rightChars="180" w:right="360"/>
        <w:jc w:val="both"/>
        <w:rPr>
          <w:rFonts w:ascii="Sylfaen" w:eastAsiaTheme="majorEastAsia" w:hAnsi="Sylfaen" w:cstheme="majorBidi"/>
          <w:sz w:val="24"/>
          <w:szCs w:val="24"/>
        </w:rPr>
      </w:pPr>
      <w:r w:rsidRPr="00481DDD">
        <w:rPr>
          <w:rFonts w:ascii="Sylfaen" w:eastAsiaTheme="majorEastAsia" w:hAnsi="Sylfaen" w:cstheme="majorBidi"/>
          <w:sz w:val="24"/>
          <w:szCs w:val="24"/>
        </w:rPr>
        <w:t>მისაერთებელი უძრავი ქონება მდებარეობს შპს „თბილისი ენერჯის</w:t>
      </w:r>
      <w:r w:rsidR="00B123EF">
        <w:rPr>
          <w:rFonts w:ascii="Sylfaen" w:eastAsiaTheme="majorEastAsia" w:hAnsi="Sylfaen" w:cstheme="majorBidi"/>
          <w:sz w:val="24"/>
          <w:szCs w:val="24"/>
          <w:lang w:val="ka-GE"/>
        </w:rPr>
        <w:t>“</w:t>
      </w:r>
      <w:r w:rsidRPr="00481DDD">
        <w:rPr>
          <w:rFonts w:ascii="Sylfaen" w:eastAsiaTheme="majorEastAsia" w:hAnsi="Sylfaen" w:cstheme="majorBidi"/>
          <w:sz w:val="24"/>
          <w:szCs w:val="24"/>
        </w:rPr>
        <w:t xml:space="preserve"> მფლობელობაში არსებული გამანაწილებელი ქსელიდან 300 მეტრის რადიუსში (გარდა კომისიის მიერ განსაზღვრული არაგაზიფიცირებული ტერიტორიული საზღვრებისა)</w:t>
      </w:r>
      <w:r w:rsidR="00B123EF">
        <w:rPr>
          <w:rFonts w:ascii="Sylfaen" w:eastAsiaTheme="majorEastAsia" w:hAnsi="Sylfaen" w:cstheme="majorBidi"/>
          <w:sz w:val="24"/>
          <w:szCs w:val="24"/>
          <w:lang w:val="ka-GE"/>
        </w:rPr>
        <w:t>;</w:t>
      </w:r>
    </w:p>
    <w:p w14:paraId="19AEF460" w14:textId="31399BBE" w:rsidR="000E4153" w:rsidRPr="000E4153" w:rsidRDefault="000E4153" w:rsidP="000E4153">
      <w:pPr>
        <w:spacing w:after="200" w:line="259" w:lineRule="atLeast"/>
        <w:ind w:leftChars="405" w:left="1170" w:rightChars="180" w:right="360" w:hanging="360"/>
        <w:jc w:val="both"/>
        <w:rPr>
          <w:rFonts w:ascii="Sylfaen" w:eastAsiaTheme="majorEastAsia" w:hAnsi="Sylfaen" w:cstheme="majorBidi"/>
          <w:sz w:val="24"/>
          <w:szCs w:val="24"/>
        </w:rPr>
      </w:pPr>
      <w:r>
        <w:rPr>
          <w:rFonts w:ascii="Sylfaen" w:eastAsiaTheme="majorEastAsia" w:hAnsi="Sylfaen" w:cstheme="majorBidi"/>
          <w:sz w:val="24"/>
          <w:szCs w:val="24"/>
          <w:lang w:val="ka-GE"/>
        </w:rPr>
        <w:t xml:space="preserve">            </w:t>
      </w:r>
      <w:r w:rsidRPr="000E4153">
        <w:rPr>
          <w:rFonts w:ascii="Sylfaen" w:eastAsiaTheme="majorEastAsia" w:hAnsi="Sylfaen" w:cstheme="majorBidi"/>
          <w:sz w:val="24"/>
          <w:szCs w:val="24"/>
        </w:rPr>
        <w:t>განაცხადის დარეგისტრირებისთანავე მიიღებთ მოკლე ტექსტურ შეტყობინებას, სადაც მითითებული იქნება განაცხადის</w:t>
      </w:r>
      <w:r>
        <w:rPr>
          <w:rFonts w:ascii="Sylfaen" w:eastAsiaTheme="majorEastAsia" w:hAnsi="Sylfaen" w:cstheme="majorBidi"/>
          <w:sz w:val="24"/>
          <w:szCs w:val="24"/>
          <w:lang w:val="ka-GE"/>
        </w:rPr>
        <w:t xml:space="preserve"> რეგისტრაციის</w:t>
      </w:r>
      <w:r w:rsidRPr="000E4153">
        <w:rPr>
          <w:rFonts w:ascii="Sylfaen" w:eastAsiaTheme="majorEastAsia" w:hAnsi="Sylfaen" w:cstheme="majorBidi"/>
          <w:sz w:val="24"/>
          <w:szCs w:val="24"/>
        </w:rPr>
        <w:t xml:space="preserve"> უნიკალური კოდი და თქვენთვის მონიჭებული აბონენტის ნომერი.</w:t>
      </w:r>
    </w:p>
    <w:p w14:paraId="62DFEE33" w14:textId="4884F15E" w:rsidR="00B123EF" w:rsidRDefault="000E4153" w:rsidP="000E4153">
      <w:pPr>
        <w:spacing w:after="200" w:line="259" w:lineRule="atLeast"/>
        <w:ind w:leftChars="405" w:left="1170" w:rightChars="180" w:right="360" w:hanging="360"/>
        <w:jc w:val="both"/>
        <w:rPr>
          <w:rFonts w:ascii="Sylfaen" w:eastAsiaTheme="majorEastAsia" w:hAnsi="Sylfaen" w:cstheme="majorBidi"/>
          <w:sz w:val="24"/>
          <w:szCs w:val="24"/>
          <w:lang w:val="ka-GE"/>
        </w:rPr>
      </w:pPr>
      <w:r>
        <w:rPr>
          <w:rFonts w:ascii="Sylfaen" w:eastAsiaTheme="majorEastAsia" w:hAnsi="Sylfaen" w:cstheme="majorBidi"/>
          <w:sz w:val="24"/>
          <w:szCs w:val="24"/>
          <w:lang w:val="ka-GE"/>
        </w:rPr>
        <w:t xml:space="preserve">             განაცხადის შესწავლა მოხდება მისი რეგისტრაციიდან მომდევნო 5 (ხუთი) სამუშაო დღის განმავლობაში. </w:t>
      </w:r>
      <w:r w:rsidRPr="000E4153">
        <w:rPr>
          <w:rFonts w:ascii="Sylfaen" w:eastAsiaTheme="majorEastAsia" w:hAnsi="Sylfaen" w:cstheme="majorBidi"/>
          <w:sz w:val="24"/>
          <w:szCs w:val="24"/>
        </w:rPr>
        <w:t xml:space="preserve">იმ შემთხვევაში, თუ განაცხადს არ მიეცა მსვლელობა და დახარვეზდა, </w:t>
      </w:r>
      <w:r>
        <w:rPr>
          <w:rFonts w:ascii="Sylfaen" w:eastAsiaTheme="majorEastAsia" w:hAnsi="Sylfaen" w:cstheme="majorBidi"/>
          <w:sz w:val="24"/>
          <w:szCs w:val="24"/>
          <w:lang w:val="ka-GE"/>
        </w:rPr>
        <w:t xml:space="preserve">დამკვეთს განაცხადში მითითებულ მობილურის ნომერზე ეგზავნება დახარვეზების მიზეზი, ხოლო </w:t>
      </w:r>
      <w:r w:rsidRPr="000E4153">
        <w:rPr>
          <w:rFonts w:ascii="Sylfaen" w:eastAsiaTheme="majorEastAsia" w:hAnsi="Sylfaen" w:cstheme="majorBidi"/>
          <w:sz w:val="24"/>
          <w:szCs w:val="24"/>
        </w:rPr>
        <w:t xml:space="preserve">გადახდილი თანხა ავტომატურად </w:t>
      </w:r>
      <w:r>
        <w:rPr>
          <w:rFonts w:ascii="Sylfaen" w:eastAsiaTheme="majorEastAsia" w:hAnsi="Sylfaen" w:cstheme="majorBidi"/>
          <w:sz w:val="24"/>
          <w:szCs w:val="24"/>
          <w:lang w:val="ka-GE"/>
        </w:rPr>
        <w:t>უბრუნდება</w:t>
      </w:r>
      <w:r w:rsidRPr="000E4153">
        <w:rPr>
          <w:rFonts w:ascii="Sylfaen" w:eastAsiaTheme="majorEastAsia" w:hAnsi="Sylfaen" w:cstheme="majorBidi"/>
          <w:sz w:val="24"/>
          <w:szCs w:val="24"/>
        </w:rPr>
        <w:t xml:space="preserve"> განაცხადში მითითებულ საბანკო ანგარიშის ნომერზე ხარვეზის დადგენიდან მომდევნო 10 სამუშაო დღის განმავლობაში. თუ განაცხადში არ იქნება მითითებული საბანკო ანგარიშის ნომერი, თანხის დაბრუნების მიზნით, საჭიროა წერილობით</w:t>
      </w:r>
      <w:r>
        <w:rPr>
          <w:rFonts w:ascii="Sylfaen" w:eastAsiaTheme="majorEastAsia" w:hAnsi="Sylfaen" w:cstheme="majorBidi"/>
          <w:sz w:val="24"/>
          <w:szCs w:val="24"/>
          <w:lang w:val="ka-GE"/>
        </w:rPr>
        <w:t xml:space="preserve"> მომართვა, სადაც წარმოადგენთ თქვენს </w:t>
      </w:r>
      <w:r w:rsidRPr="000E4153">
        <w:rPr>
          <w:rFonts w:ascii="Sylfaen" w:eastAsiaTheme="majorEastAsia" w:hAnsi="Sylfaen" w:cstheme="majorBidi"/>
          <w:sz w:val="24"/>
          <w:szCs w:val="24"/>
        </w:rPr>
        <w:t>საბანკო რეკვიზიტებ</w:t>
      </w:r>
      <w:r>
        <w:rPr>
          <w:rFonts w:ascii="Sylfaen" w:eastAsiaTheme="majorEastAsia" w:hAnsi="Sylfaen" w:cstheme="majorBidi"/>
          <w:sz w:val="24"/>
          <w:szCs w:val="24"/>
          <w:lang w:val="ka-GE"/>
        </w:rPr>
        <w:t>ს</w:t>
      </w:r>
      <w:r w:rsidRPr="000E4153">
        <w:rPr>
          <w:rFonts w:ascii="Sylfaen" w:eastAsiaTheme="majorEastAsia" w:hAnsi="Sylfaen" w:cstheme="majorBidi"/>
          <w:sz w:val="24"/>
          <w:szCs w:val="24"/>
        </w:rPr>
        <w:t>. მოთხოვნის წარმოდგენიდან მომდევნო მაქსიმუმ 10 სამუშაო დღის ვადაში დაგიბრუნდებათ გადახდილი თანხა</w:t>
      </w:r>
      <w:r>
        <w:rPr>
          <w:rFonts w:ascii="Sylfaen" w:eastAsiaTheme="majorEastAsia" w:hAnsi="Sylfaen" w:cstheme="majorBidi"/>
          <w:sz w:val="24"/>
          <w:szCs w:val="24"/>
          <w:lang w:val="ka-GE"/>
        </w:rPr>
        <w:t>.</w:t>
      </w:r>
    </w:p>
    <w:p w14:paraId="2F2C9125" w14:textId="701E8CAC" w:rsidR="000E4153" w:rsidRDefault="000E4153" w:rsidP="004C7849">
      <w:pPr>
        <w:spacing w:after="200" w:line="259" w:lineRule="atLeast"/>
        <w:ind w:leftChars="405" w:left="810" w:rightChars="180" w:right="360" w:firstLine="450"/>
        <w:jc w:val="both"/>
        <w:rPr>
          <w:rFonts w:ascii="Sylfaen" w:eastAsiaTheme="majorEastAsia" w:hAnsi="Sylfaen" w:cstheme="majorBidi"/>
          <w:sz w:val="24"/>
          <w:szCs w:val="24"/>
          <w:lang w:val="ka-GE"/>
        </w:rPr>
      </w:pPr>
      <w:r>
        <w:rPr>
          <w:rFonts w:ascii="Sylfaen" w:eastAsiaTheme="majorEastAsia" w:hAnsi="Sylfaen" w:cstheme="majorBidi"/>
          <w:sz w:val="24"/>
          <w:szCs w:val="24"/>
          <w:lang w:val="ka-GE"/>
        </w:rPr>
        <w:t>გთხოვთ, გაითვალისწინოთ, რომ ხარვეზის შეტყობინებაში მითითებული საკითხების გამოსწორების შემდეგ, აუცილებელია ქსელზე მიერთების განაცხადით ხელახლა მომართვა.</w:t>
      </w:r>
    </w:p>
    <w:p w14:paraId="5F0789E2" w14:textId="0E94A4BA" w:rsidR="000E4153" w:rsidRDefault="000E4153" w:rsidP="004C7849">
      <w:pPr>
        <w:spacing w:after="200" w:line="259" w:lineRule="atLeast"/>
        <w:ind w:leftChars="405" w:left="810" w:rightChars="180" w:right="360" w:firstLine="450"/>
        <w:jc w:val="both"/>
        <w:rPr>
          <w:rFonts w:ascii="Sylfaen" w:eastAsiaTheme="majorEastAsia" w:hAnsi="Sylfaen" w:cstheme="majorBidi"/>
          <w:sz w:val="24"/>
          <w:szCs w:val="24"/>
          <w:lang w:val="ka-GE"/>
        </w:rPr>
      </w:pPr>
      <w:r>
        <w:rPr>
          <w:rFonts w:ascii="Sylfaen" w:eastAsiaTheme="majorEastAsia" w:hAnsi="Sylfaen" w:cstheme="majorBidi"/>
          <w:sz w:val="24"/>
          <w:szCs w:val="24"/>
          <w:lang w:val="ka-GE"/>
        </w:rPr>
        <w:t>ახალი მომხმარებლის ქსელზე მიერთების ვადები და საფასური დამტკიცებულია სახელმწიფო მარეგულირებლის მიერ:</w:t>
      </w:r>
    </w:p>
    <w:tbl>
      <w:tblPr>
        <w:tblW w:w="11535" w:type="dxa"/>
        <w:tblLook w:val="04A0" w:firstRow="1" w:lastRow="0" w:firstColumn="1" w:lastColumn="0" w:noHBand="0" w:noVBand="1"/>
      </w:tblPr>
      <w:tblGrid>
        <w:gridCol w:w="1300"/>
        <w:gridCol w:w="1499"/>
        <w:gridCol w:w="1287"/>
        <w:gridCol w:w="1730"/>
        <w:gridCol w:w="1287"/>
        <w:gridCol w:w="1730"/>
        <w:gridCol w:w="3107"/>
        <w:gridCol w:w="222"/>
      </w:tblGrid>
      <w:tr w:rsidR="004C7849" w:rsidRPr="004C7849" w14:paraId="551FEF80" w14:textId="77777777" w:rsidTr="004C7849">
        <w:trPr>
          <w:gridAfter w:val="1"/>
          <w:wAfter w:w="200" w:type="dxa"/>
          <w:trHeight w:val="408"/>
        </w:trPr>
        <w:tc>
          <w:tcPr>
            <w:tcW w:w="1174" w:type="dxa"/>
            <w:vMerge w:val="restart"/>
            <w:tcBorders>
              <w:top w:val="nil"/>
              <w:left w:val="nil"/>
              <w:bottom w:val="single" w:sz="12" w:space="0" w:color="FFFFFF"/>
              <w:right w:val="nil"/>
            </w:tcBorders>
            <w:shd w:val="clear" w:color="000000" w:fill="A5A5A5"/>
            <w:vAlign w:val="center"/>
            <w:hideMark/>
          </w:tcPr>
          <w:p w14:paraId="32EFA4D5" w14:textId="77777777" w:rsidR="004C7849" w:rsidRPr="004C7849" w:rsidRDefault="004C7849" w:rsidP="004C7849">
            <w:pPr>
              <w:jc w:val="center"/>
              <w:rPr>
                <w:rFonts w:ascii="BPGCond" w:eastAsia="Times New Roman" w:hAnsi="BPGCond" w:cs="Calibri"/>
                <w:b/>
                <w:bCs/>
                <w:color w:val="3C4B64"/>
                <w:sz w:val="17"/>
                <w:szCs w:val="18"/>
                <w:lang w:eastAsia="en-US"/>
              </w:rPr>
            </w:pPr>
            <w:bookmarkStart w:id="0" w:name="RANGE!A1"/>
            <w:bookmarkStart w:id="1" w:name="_Hlk133505873" w:colFirst="1" w:colLast="6"/>
            <w:r w:rsidRPr="004C7849">
              <w:rPr>
                <w:rFonts w:ascii="BPGCond" w:eastAsia="Times New Roman" w:hAnsi="BPGCond" w:cs="Calibri"/>
                <w:b/>
                <w:bCs/>
                <w:color w:val="3C4B64"/>
                <w:sz w:val="17"/>
                <w:szCs w:val="18"/>
                <w:lang w:val="ka-GE" w:eastAsia="en-US"/>
              </w:rPr>
              <w:t xml:space="preserve">მოთხოვნილი სიმძლავრე* (მ3/სთ)  </w:t>
            </w:r>
            <w:bookmarkEnd w:id="0"/>
          </w:p>
        </w:tc>
        <w:tc>
          <w:tcPr>
            <w:tcW w:w="1354" w:type="dxa"/>
            <w:vMerge w:val="restart"/>
            <w:tcBorders>
              <w:top w:val="nil"/>
              <w:left w:val="nil"/>
              <w:bottom w:val="single" w:sz="12" w:space="0" w:color="FFFFFF"/>
              <w:right w:val="nil"/>
            </w:tcBorders>
            <w:shd w:val="clear" w:color="000000" w:fill="A5A5A5"/>
            <w:vAlign w:val="center"/>
            <w:hideMark/>
          </w:tcPr>
          <w:p w14:paraId="2E935D91"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val="ka-GE" w:eastAsia="en-US"/>
              </w:rPr>
              <w:t>ახალი მომხმარებლის გამანაწილებელ ქსელზე მიერთების ვადა (სამუშაო დღე)</w:t>
            </w:r>
          </w:p>
        </w:tc>
        <w:tc>
          <w:tcPr>
            <w:tcW w:w="8807" w:type="dxa"/>
            <w:gridSpan w:val="5"/>
            <w:vMerge w:val="restart"/>
            <w:tcBorders>
              <w:top w:val="nil"/>
              <w:left w:val="nil"/>
              <w:bottom w:val="nil"/>
              <w:right w:val="single" w:sz="12" w:space="0" w:color="FFFFFF"/>
            </w:tcBorders>
            <w:shd w:val="clear" w:color="000000" w:fill="A5A5A5"/>
            <w:vAlign w:val="center"/>
            <w:hideMark/>
          </w:tcPr>
          <w:p w14:paraId="66794383"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val="ka-GE" w:eastAsia="en-US"/>
              </w:rPr>
              <w:t>ახალი მომხმარებლის მიერთების საფასური დღგ-ის ჩათვლით (ლარი)</w:t>
            </w:r>
          </w:p>
        </w:tc>
      </w:tr>
      <w:tr w:rsidR="004C7849" w:rsidRPr="004C7849" w14:paraId="3A1BF49D" w14:textId="77777777" w:rsidTr="004C7849">
        <w:trPr>
          <w:trHeight w:val="300"/>
        </w:trPr>
        <w:tc>
          <w:tcPr>
            <w:tcW w:w="1174" w:type="dxa"/>
            <w:vMerge/>
            <w:tcBorders>
              <w:top w:val="nil"/>
              <w:left w:val="nil"/>
              <w:bottom w:val="single" w:sz="12" w:space="0" w:color="FFFFFF"/>
              <w:right w:val="nil"/>
            </w:tcBorders>
            <w:vAlign w:val="center"/>
            <w:hideMark/>
          </w:tcPr>
          <w:p w14:paraId="4533E574" w14:textId="77777777" w:rsidR="004C7849" w:rsidRPr="004C7849" w:rsidRDefault="004C7849" w:rsidP="004C7849">
            <w:pPr>
              <w:rPr>
                <w:rFonts w:ascii="BPGCond" w:eastAsia="Times New Roman" w:hAnsi="BPGCond" w:cs="Calibri"/>
                <w:b/>
                <w:bCs/>
                <w:color w:val="3C4B64"/>
                <w:sz w:val="17"/>
                <w:szCs w:val="18"/>
                <w:lang w:eastAsia="en-US"/>
              </w:rPr>
            </w:pPr>
          </w:p>
        </w:tc>
        <w:tc>
          <w:tcPr>
            <w:tcW w:w="1354" w:type="dxa"/>
            <w:vMerge/>
            <w:tcBorders>
              <w:top w:val="nil"/>
              <w:left w:val="nil"/>
              <w:bottom w:val="single" w:sz="12" w:space="0" w:color="FFFFFF"/>
              <w:right w:val="nil"/>
            </w:tcBorders>
            <w:vAlign w:val="center"/>
            <w:hideMark/>
          </w:tcPr>
          <w:p w14:paraId="72F678D1" w14:textId="77777777" w:rsidR="004C7849" w:rsidRPr="004C7849" w:rsidRDefault="004C7849" w:rsidP="004C7849">
            <w:pPr>
              <w:rPr>
                <w:rFonts w:ascii="BPGCond" w:eastAsia="Times New Roman" w:hAnsi="BPGCond" w:cs="Calibri"/>
                <w:b/>
                <w:bCs/>
                <w:color w:val="3C4B64"/>
                <w:sz w:val="17"/>
                <w:szCs w:val="18"/>
                <w:lang w:eastAsia="en-US"/>
              </w:rPr>
            </w:pPr>
          </w:p>
        </w:tc>
        <w:tc>
          <w:tcPr>
            <w:tcW w:w="8807" w:type="dxa"/>
            <w:gridSpan w:val="5"/>
            <w:vMerge/>
            <w:tcBorders>
              <w:top w:val="nil"/>
              <w:left w:val="nil"/>
              <w:bottom w:val="nil"/>
              <w:right w:val="single" w:sz="12" w:space="0" w:color="FFFFFF"/>
            </w:tcBorders>
            <w:vAlign w:val="center"/>
            <w:hideMark/>
          </w:tcPr>
          <w:p w14:paraId="7485D66B" w14:textId="77777777" w:rsidR="004C7849" w:rsidRPr="004C7849" w:rsidRDefault="004C7849" w:rsidP="004C7849">
            <w:pPr>
              <w:rPr>
                <w:rFonts w:ascii="BPGCond" w:eastAsia="Times New Roman" w:hAnsi="BPGCond" w:cs="Calibri"/>
                <w:b/>
                <w:bCs/>
                <w:color w:val="3C4B64"/>
                <w:sz w:val="17"/>
                <w:szCs w:val="18"/>
                <w:lang w:eastAsia="en-US"/>
              </w:rPr>
            </w:pPr>
          </w:p>
        </w:tc>
        <w:tc>
          <w:tcPr>
            <w:tcW w:w="200" w:type="dxa"/>
            <w:tcBorders>
              <w:top w:val="nil"/>
              <w:left w:val="nil"/>
              <w:bottom w:val="nil"/>
              <w:right w:val="nil"/>
            </w:tcBorders>
            <w:shd w:val="clear" w:color="auto" w:fill="auto"/>
            <w:noWrap/>
            <w:vAlign w:val="bottom"/>
            <w:hideMark/>
          </w:tcPr>
          <w:p w14:paraId="4D7FC7AC" w14:textId="77777777" w:rsidR="004C7849" w:rsidRPr="004C7849" w:rsidRDefault="004C7849" w:rsidP="004C7849">
            <w:pPr>
              <w:jc w:val="center"/>
              <w:rPr>
                <w:rFonts w:ascii="BPGCond" w:eastAsia="Times New Roman" w:hAnsi="BPGCond" w:cs="Calibri"/>
                <w:b/>
                <w:bCs/>
                <w:color w:val="3C4B64"/>
                <w:sz w:val="17"/>
                <w:szCs w:val="18"/>
                <w:lang w:eastAsia="en-US"/>
              </w:rPr>
            </w:pPr>
          </w:p>
        </w:tc>
      </w:tr>
      <w:tr w:rsidR="004C7849" w:rsidRPr="004C7849" w14:paraId="40F82D3E" w14:textId="77777777" w:rsidTr="004C7849">
        <w:trPr>
          <w:trHeight w:val="300"/>
        </w:trPr>
        <w:tc>
          <w:tcPr>
            <w:tcW w:w="1174" w:type="dxa"/>
            <w:vMerge/>
            <w:tcBorders>
              <w:top w:val="nil"/>
              <w:left w:val="nil"/>
              <w:bottom w:val="single" w:sz="12" w:space="0" w:color="FFFFFF"/>
              <w:right w:val="nil"/>
            </w:tcBorders>
            <w:vAlign w:val="center"/>
            <w:hideMark/>
          </w:tcPr>
          <w:p w14:paraId="5D8410C9" w14:textId="77777777" w:rsidR="004C7849" w:rsidRPr="004C7849" w:rsidRDefault="004C7849" w:rsidP="004C7849">
            <w:pPr>
              <w:rPr>
                <w:rFonts w:ascii="BPGCond" w:eastAsia="Times New Roman" w:hAnsi="BPGCond" w:cs="Calibri"/>
                <w:b/>
                <w:bCs/>
                <w:color w:val="3C4B64"/>
                <w:sz w:val="17"/>
                <w:szCs w:val="18"/>
                <w:lang w:eastAsia="en-US"/>
              </w:rPr>
            </w:pPr>
          </w:p>
        </w:tc>
        <w:tc>
          <w:tcPr>
            <w:tcW w:w="1354" w:type="dxa"/>
            <w:vMerge/>
            <w:tcBorders>
              <w:top w:val="nil"/>
              <w:left w:val="nil"/>
              <w:bottom w:val="single" w:sz="12" w:space="0" w:color="FFFFFF"/>
              <w:right w:val="nil"/>
            </w:tcBorders>
            <w:vAlign w:val="center"/>
            <w:hideMark/>
          </w:tcPr>
          <w:p w14:paraId="2E84E27C" w14:textId="77777777" w:rsidR="004C7849" w:rsidRPr="004C7849" w:rsidRDefault="004C7849" w:rsidP="004C7849">
            <w:pPr>
              <w:rPr>
                <w:rFonts w:ascii="BPGCond" w:eastAsia="Times New Roman" w:hAnsi="BPGCond" w:cs="Calibri"/>
                <w:b/>
                <w:bCs/>
                <w:color w:val="3C4B64"/>
                <w:sz w:val="17"/>
                <w:szCs w:val="18"/>
                <w:lang w:eastAsia="en-US"/>
              </w:rPr>
            </w:pPr>
          </w:p>
        </w:tc>
        <w:tc>
          <w:tcPr>
            <w:tcW w:w="8807" w:type="dxa"/>
            <w:gridSpan w:val="5"/>
            <w:vMerge/>
            <w:tcBorders>
              <w:top w:val="nil"/>
              <w:left w:val="nil"/>
              <w:bottom w:val="nil"/>
              <w:right w:val="single" w:sz="12" w:space="0" w:color="FFFFFF"/>
            </w:tcBorders>
            <w:vAlign w:val="center"/>
            <w:hideMark/>
          </w:tcPr>
          <w:p w14:paraId="3AF1855D" w14:textId="77777777" w:rsidR="004C7849" w:rsidRPr="004C7849" w:rsidRDefault="004C7849" w:rsidP="004C7849">
            <w:pPr>
              <w:rPr>
                <w:rFonts w:ascii="BPGCond" w:eastAsia="Times New Roman" w:hAnsi="BPGCond" w:cs="Calibri"/>
                <w:b/>
                <w:bCs/>
                <w:color w:val="3C4B64"/>
                <w:sz w:val="17"/>
                <w:szCs w:val="18"/>
                <w:lang w:eastAsia="en-US"/>
              </w:rPr>
            </w:pPr>
          </w:p>
        </w:tc>
        <w:tc>
          <w:tcPr>
            <w:tcW w:w="200" w:type="dxa"/>
            <w:tcBorders>
              <w:top w:val="nil"/>
              <w:left w:val="nil"/>
              <w:bottom w:val="nil"/>
              <w:right w:val="nil"/>
            </w:tcBorders>
            <w:shd w:val="clear" w:color="auto" w:fill="auto"/>
            <w:noWrap/>
            <w:vAlign w:val="bottom"/>
            <w:hideMark/>
          </w:tcPr>
          <w:p w14:paraId="5E962437"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60FB692B" w14:textId="77777777" w:rsidTr="004C7849">
        <w:trPr>
          <w:trHeight w:val="315"/>
        </w:trPr>
        <w:tc>
          <w:tcPr>
            <w:tcW w:w="1174" w:type="dxa"/>
            <w:vMerge/>
            <w:tcBorders>
              <w:top w:val="nil"/>
              <w:left w:val="nil"/>
              <w:bottom w:val="single" w:sz="12" w:space="0" w:color="FFFFFF"/>
              <w:right w:val="nil"/>
            </w:tcBorders>
            <w:vAlign w:val="center"/>
            <w:hideMark/>
          </w:tcPr>
          <w:p w14:paraId="0BEC8682" w14:textId="77777777" w:rsidR="004C7849" w:rsidRPr="004C7849" w:rsidRDefault="004C7849" w:rsidP="004C7849">
            <w:pPr>
              <w:rPr>
                <w:rFonts w:ascii="BPGCond" w:eastAsia="Times New Roman" w:hAnsi="BPGCond" w:cs="Calibri"/>
                <w:b/>
                <w:bCs/>
                <w:color w:val="3C4B64"/>
                <w:sz w:val="17"/>
                <w:szCs w:val="18"/>
                <w:lang w:eastAsia="en-US"/>
              </w:rPr>
            </w:pPr>
          </w:p>
        </w:tc>
        <w:tc>
          <w:tcPr>
            <w:tcW w:w="1354" w:type="dxa"/>
            <w:vMerge/>
            <w:tcBorders>
              <w:top w:val="nil"/>
              <w:left w:val="nil"/>
              <w:bottom w:val="single" w:sz="12" w:space="0" w:color="FFFFFF"/>
              <w:right w:val="nil"/>
            </w:tcBorders>
            <w:vAlign w:val="center"/>
            <w:hideMark/>
          </w:tcPr>
          <w:p w14:paraId="0BF0DAAF" w14:textId="77777777" w:rsidR="004C7849" w:rsidRPr="004C7849" w:rsidRDefault="004C7849" w:rsidP="004C7849">
            <w:pPr>
              <w:rPr>
                <w:rFonts w:ascii="BPGCond" w:eastAsia="Times New Roman" w:hAnsi="BPGCond" w:cs="Calibri"/>
                <w:b/>
                <w:bCs/>
                <w:color w:val="3C4B64"/>
                <w:sz w:val="17"/>
                <w:szCs w:val="18"/>
                <w:lang w:eastAsia="en-US"/>
              </w:rPr>
            </w:pPr>
          </w:p>
        </w:tc>
        <w:tc>
          <w:tcPr>
            <w:tcW w:w="2850" w:type="dxa"/>
            <w:gridSpan w:val="2"/>
            <w:tcBorders>
              <w:top w:val="nil"/>
              <w:left w:val="nil"/>
              <w:bottom w:val="single" w:sz="12" w:space="0" w:color="FFFFFF"/>
              <w:right w:val="single" w:sz="12" w:space="0" w:color="FFFFFF"/>
            </w:tcBorders>
            <w:shd w:val="clear" w:color="000000" w:fill="D2D2D2"/>
            <w:vAlign w:val="center"/>
            <w:hideMark/>
          </w:tcPr>
          <w:p w14:paraId="32021A8E"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ერთდროულად გადახდის პირობით</w:t>
            </w:r>
          </w:p>
        </w:tc>
        <w:tc>
          <w:tcPr>
            <w:tcW w:w="2850" w:type="dxa"/>
            <w:gridSpan w:val="2"/>
            <w:tcBorders>
              <w:top w:val="nil"/>
              <w:left w:val="nil"/>
              <w:bottom w:val="single" w:sz="12" w:space="0" w:color="FFFFFF"/>
              <w:right w:val="single" w:sz="12" w:space="0" w:color="FFFFFF"/>
            </w:tcBorders>
            <w:shd w:val="clear" w:color="000000" w:fill="D2D2D2"/>
            <w:vAlign w:val="center"/>
            <w:hideMark/>
          </w:tcPr>
          <w:p w14:paraId="15C18F28"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17 თვეზე განწილვადებით</w:t>
            </w:r>
          </w:p>
        </w:tc>
        <w:tc>
          <w:tcPr>
            <w:tcW w:w="3107" w:type="dxa"/>
            <w:tcBorders>
              <w:top w:val="nil"/>
              <w:left w:val="nil"/>
              <w:bottom w:val="nil"/>
              <w:right w:val="single" w:sz="12" w:space="0" w:color="FFFFFF"/>
            </w:tcBorders>
            <w:shd w:val="clear" w:color="000000" w:fill="A5A5A5"/>
            <w:vAlign w:val="center"/>
            <w:hideMark/>
          </w:tcPr>
          <w:p w14:paraId="3D9DB5A4"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val="ka-GE" w:eastAsia="en-US"/>
              </w:rPr>
              <w:t>გადახდის პირობები</w:t>
            </w:r>
          </w:p>
        </w:tc>
        <w:tc>
          <w:tcPr>
            <w:tcW w:w="200" w:type="dxa"/>
            <w:vAlign w:val="center"/>
            <w:hideMark/>
          </w:tcPr>
          <w:p w14:paraId="664E32B0"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3E0400D6" w14:textId="77777777" w:rsidTr="004C7849">
        <w:trPr>
          <w:trHeight w:val="315"/>
        </w:trPr>
        <w:tc>
          <w:tcPr>
            <w:tcW w:w="1174" w:type="dxa"/>
            <w:vMerge/>
            <w:tcBorders>
              <w:top w:val="nil"/>
              <w:left w:val="nil"/>
              <w:bottom w:val="single" w:sz="12" w:space="0" w:color="FFFFFF"/>
              <w:right w:val="nil"/>
            </w:tcBorders>
            <w:vAlign w:val="center"/>
            <w:hideMark/>
          </w:tcPr>
          <w:p w14:paraId="27FE91A8" w14:textId="77777777" w:rsidR="004C7849" w:rsidRPr="004C7849" w:rsidRDefault="004C7849" w:rsidP="004C7849">
            <w:pPr>
              <w:rPr>
                <w:rFonts w:ascii="BPGCond" w:eastAsia="Times New Roman" w:hAnsi="BPGCond" w:cs="Calibri"/>
                <w:b/>
                <w:bCs/>
                <w:color w:val="3C4B64"/>
                <w:sz w:val="17"/>
                <w:szCs w:val="18"/>
                <w:lang w:eastAsia="en-US"/>
              </w:rPr>
            </w:pPr>
          </w:p>
        </w:tc>
        <w:tc>
          <w:tcPr>
            <w:tcW w:w="1354" w:type="dxa"/>
            <w:vMerge/>
            <w:tcBorders>
              <w:top w:val="nil"/>
              <w:left w:val="nil"/>
              <w:bottom w:val="single" w:sz="12" w:space="0" w:color="FFFFFF"/>
              <w:right w:val="nil"/>
            </w:tcBorders>
            <w:vAlign w:val="center"/>
            <w:hideMark/>
          </w:tcPr>
          <w:p w14:paraId="6C26973F" w14:textId="77777777" w:rsidR="004C7849" w:rsidRPr="004C7849" w:rsidRDefault="004C7849" w:rsidP="004C7849">
            <w:pPr>
              <w:rPr>
                <w:rFonts w:ascii="BPGCond" w:eastAsia="Times New Roman" w:hAnsi="BPGCond" w:cs="Calibri"/>
                <w:b/>
                <w:bCs/>
                <w:color w:val="3C4B64"/>
                <w:sz w:val="17"/>
                <w:szCs w:val="18"/>
                <w:lang w:eastAsia="en-US"/>
              </w:rPr>
            </w:pPr>
          </w:p>
        </w:tc>
        <w:tc>
          <w:tcPr>
            <w:tcW w:w="1287" w:type="dxa"/>
            <w:vMerge w:val="restart"/>
            <w:tcBorders>
              <w:top w:val="nil"/>
              <w:left w:val="nil"/>
              <w:bottom w:val="single" w:sz="12" w:space="0" w:color="FFFFFF"/>
              <w:right w:val="single" w:sz="12" w:space="0" w:color="FFFFFF"/>
            </w:tcBorders>
            <w:shd w:val="clear" w:color="000000" w:fill="E8E8E8"/>
            <w:vAlign w:val="center"/>
            <w:hideMark/>
          </w:tcPr>
          <w:p w14:paraId="1F853517"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თბილისი</w:t>
            </w:r>
          </w:p>
        </w:tc>
        <w:tc>
          <w:tcPr>
            <w:tcW w:w="1562" w:type="dxa"/>
            <w:vMerge w:val="restart"/>
            <w:tcBorders>
              <w:top w:val="nil"/>
              <w:left w:val="single" w:sz="12" w:space="0" w:color="FFFFFF"/>
              <w:bottom w:val="single" w:sz="12" w:space="0" w:color="FFFFFF"/>
              <w:right w:val="single" w:sz="12" w:space="0" w:color="FFFFFF"/>
            </w:tcBorders>
            <w:shd w:val="clear" w:color="000000" w:fill="E8E8E8"/>
            <w:vAlign w:val="center"/>
            <w:hideMark/>
          </w:tcPr>
          <w:p w14:paraId="545267BB"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სხვა მუნიციპალიტეტები</w:t>
            </w:r>
          </w:p>
        </w:tc>
        <w:tc>
          <w:tcPr>
            <w:tcW w:w="1287" w:type="dxa"/>
            <w:vMerge w:val="restart"/>
            <w:tcBorders>
              <w:top w:val="nil"/>
              <w:left w:val="single" w:sz="12" w:space="0" w:color="FFFFFF"/>
              <w:bottom w:val="single" w:sz="12" w:space="0" w:color="FFFFFF"/>
              <w:right w:val="single" w:sz="12" w:space="0" w:color="FFFFFF"/>
            </w:tcBorders>
            <w:shd w:val="clear" w:color="000000" w:fill="E8E8E8"/>
            <w:vAlign w:val="center"/>
            <w:hideMark/>
          </w:tcPr>
          <w:p w14:paraId="7862497F"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თბილისი</w:t>
            </w:r>
          </w:p>
        </w:tc>
        <w:tc>
          <w:tcPr>
            <w:tcW w:w="1562" w:type="dxa"/>
            <w:vMerge w:val="restart"/>
            <w:tcBorders>
              <w:top w:val="nil"/>
              <w:left w:val="single" w:sz="12" w:space="0" w:color="FFFFFF"/>
              <w:bottom w:val="single" w:sz="12" w:space="0" w:color="FFFFFF"/>
              <w:right w:val="single" w:sz="12" w:space="0" w:color="FFFFFF"/>
            </w:tcBorders>
            <w:shd w:val="clear" w:color="000000" w:fill="E8E8E8"/>
            <w:vAlign w:val="center"/>
            <w:hideMark/>
          </w:tcPr>
          <w:p w14:paraId="6DAA81CC"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სხვა მუნიციპალიტეტები</w:t>
            </w:r>
          </w:p>
        </w:tc>
        <w:tc>
          <w:tcPr>
            <w:tcW w:w="3107" w:type="dxa"/>
            <w:tcBorders>
              <w:top w:val="nil"/>
              <w:left w:val="nil"/>
              <w:bottom w:val="nil"/>
              <w:right w:val="single" w:sz="12" w:space="0" w:color="FFFFFF"/>
            </w:tcBorders>
            <w:shd w:val="clear" w:color="000000" w:fill="A5A5A5"/>
            <w:noWrap/>
            <w:vAlign w:val="center"/>
            <w:hideMark/>
          </w:tcPr>
          <w:p w14:paraId="41426845" w14:textId="77777777" w:rsidR="004C7849" w:rsidRPr="004C7849" w:rsidRDefault="004C7849" w:rsidP="004C7849">
            <w:pP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 </w:t>
            </w:r>
          </w:p>
        </w:tc>
        <w:tc>
          <w:tcPr>
            <w:tcW w:w="200" w:type="dxa"/>
            <w:vAlign w:val="center"/>
            <w:hideMark/>
          </w:tcPr>
          <w:p w14:paraId="2BA6EDF8"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08DAD71A" w14:textId="77777777" w:rsidTr="004C7849">
        <w:trPr>
          <w:trHeight w:val="315"/>
        </w:trPr>
        <w:tc>
          <w:tcPr>
            <w:tcW w:w="1174" w:type="dxa"/>
            <w:vMerge/>
            <w:tcBorders>
              <w:top w:val="nil"/>
              <w:left w:val="nil"/>
              <w:bottom w:val="single" w:sz="12" w:space="0" w:color="FFFFFF"/>
              <w:right w:val="nil"/>
            </w:tcBorders>
            <w:vAlign w:val="center"/>
            <w:hideMark/>
          </w:tcPr>
          <w:p w14:paraId="3AA0DEFE" w14:textId="77777777" w:rsidR="004C7849" w:rsidRPr="004C7849" w:rsidRDefault="004C7849" w:rsidP="004C7849">
            <w:pPr>
              <w:rPr>
                <w:rFonts w:ascii="BPGCond" w:eastAsia="Times New Roman" w:hAnsi="BPGCond" w:cs="Calibri"/>
                <w:b/>
                <w:bCs/>
                <w:color w:val="3C4B64"/>
                <w:sz w:val="17"/>
                <w:szCs w:val="18"/>
                <w:lang w:eastAsia="en-US"/>
              </w:rPr>
            </w:pPr>
          </w:p>
        </w:tc>
        <w:tc>
          <w:tcPr>
            <w:tcW w:w="1354" w:type="dxa"/>
            <w:vMerge/>
            <w:tcBorders>
              <w:top w:val="nil"/>
              <w:left w:val="nil"/>
              <w:bottom w:val="single" w:sz="12" w:space="0" w:color="FFFFFF"/>
              <w:right w:val="nil"/>
            </w:tcBorders>
            <w:vAlign w:val="center"/>
            <w:hideMark/>
          </w:tcPr>
          <w:p w14:paraId="48979A87" w14:textId="77777777" w:rsidR="004C7849" w:rsidRPr="004C7849" w:rsidRDefault="004C7849" w:rsidP="004C7849">
            <w:pPr>
              <w:rPr>
                <w:rFonts w:ascii="BPGCond" w:eastAsia="Times New Roman" w:hAnsi="BPGCond" w:cs="Calibri"/>
                <w:b/>
                <w:bCs/>
                <w:color w:val="3C4B64"/>
                <w:sz w:val="17"/>
                <w:szCs w:val="18"/>
                <w:lang w:eastAsia="en-US"/>
              </w:rPr>
            </w:pPr>
          </w:p>
        </w:tc>
        <w:tc>
          <w:tcPr>
            <w:tcW w:w="1287" w:type="dxa"/>
            <w:vMerge/>
            <w:tcBorders>
              <w:top w:val="nil"/>
              <w:left w:val="nil"/>
              <w:bottom w:val="single" w:sz="12" w:space="0" w:color="FFFFFF"/>
              <w:right w:val="single" w:sz="12" w:space="0" w:color="FFFFFF"/>
            </w:tcBorders>
            <w:vAlign w:val="center"/>
            <w:hideMark/>
          </w:tcPr>
          <w:p w14:paraId="7B10083A" w14:textId="77777777" w:rsidR="004C7849" w:rsidRPr="004C7849" w:rsidRDefault="004C7849" w:rsidP="004C7849">
            <w:pPr>
              <w:rPr>
                <w:rFonts w:ascii="BPGCond" w:eastAsia="Times New Roman" w:hAnsi="BPGCond" w:cs="Calibri"/>
                <w:color w:val="3C4B64"/>
                <w:sz w:val="17"/>
                <w:szCs w:val="18"/>
                <w:lang w:eastAsia="en-US"/>
              </w:rPr>
            </w:pPr>
          </w:p>
        </w:tc>
        <w:tc>
          <w:tcPr>
            <w:tcW w:w="1562" w:type="dxa"/>
            <w:vMerge/>
            <w:tcBorders>
              <w:top w:val="nil"/>
              <w:left w:val="single" w:sz="12" w:space="0" w:color="FFFFFF"/>
              <w:bottom w:val="single" w:sz="12" w:space="0" w:color="FFFFFF"/>
              <w:right w:val="single" w:sz="12" w:space="0" w:color="FFFFFF"/>
            </w:tcBorders>
            <w:vAlign w:val="center"/>
            <w:hideMark/>
          </w:tcPr>
          <w:p w14:paraId="31189B72" w14:textId="77777777" w:rsidR="004C7849" w:rsidRPr="004C7849" w:rsidRDefault="004C7849" w:rsidP="004C7849">
            <w:pPr>
              <w:rPr>
                <w:rFonts w:ascii="BPGCond" w:eastAsia="Times New Roman" w:hAnsi="BPGCond" w:cs="Calibri"/>
                <w:color w:val="3C4B64"/>
                <w:sz w:val="17"/>
                <w:szCs w:val="18"/>
                <w:lang w:eastAsia="en-US"/>
              </w:rPr>
            </w:pPr>
          </w:p>
        </w:tc>
        <w:tc>
          <w:tcPr>
            <w:tcW w:w="1287" w:type="dxa"/>
            <w:vMerge/>
            <w:tcBorders>
              <w:top w:val="nil"/>
              <w:left w:val="single" w:sz="12" w:space="0" w:color="FFFFFF"/>
              <w:bottom w:val="single" w:sz="12" w:space="0" w:color="FFFFFF"/>
              <w:right w:val="single" w:sz="12" w:space="0" w:color="FFFFFF"/>
            </w:tcBorders>
            <w:vAlign w:val="center"/>
            <w:hideMark/>
          </w:tcPr>
          <w:p w14:paraId="1810405B" w14:textId="77777777" w:rsidR="004C7849" w:rsidRPr="004C7849" w:rsidRDefault="004C7849" w:rsidP="004C7849">
            <w:pPr>
              <w:rPr>
                <w:rFonts w:ascii="BPGCond" w:eastAsia="Times New Roman" w:hAnsi="BPGCond" w:cs="Calibri"/>
                <w:color w:val="3C4B64"/>
                <w:sz w:val="17"/>
                <w:szCs w:val="18"/>
                <w:lang w:eastAsia="en-US"/>
              </w:rPr>
            </w:pPr>
          </w:p>
        </w:tc>
        <w:tc>
          <w:tcPr>
            <w:tcW w:w="1562" w:type="dxa"/>
            <w:vMerge/>
            <w:tcBorders>
              <w:top w:val="nil"/>
              <w:left w:val="single" w:sz="12" w:space="0" w:color="FFFFFF"/>
              <w:bottom w:val="single" w:sz="12" w:space="0" w:color="FFFFFF"/>
              <w:right w:val="single" w:sz="12" w:space="0" w:color="FFFFFF"/>
            </w:tcBorders>
            <w:vAlign w:val="center"/>
            <w:hideMark/>
          </w:tcPr>
          <w:p w14:paraId="428191AA" w14:textId="77777777" w:rsidR="004C7849" w:rsidRPr="004C7849" w:rsidRDefault="004C7849" w:rsidP="004C7849">
            <w:pPr>
              <w:rPr>
                <w:rFonts w:ascii="BPGCond" w:eastAsia="Times New Roman" w:hAnsi="BPGCond" w:cs="Calibri"/>
                <w:color w:val="3C4B64"/>
                <w:sz w:val="17"/>
                <w:szCs w:val="18"/>
                <w:lang w:eastAsia="en-US"/>
              </w:rPr>
            </w:pPr>
          </w:p>
        </w:tc>
        <w:tc>
          <w:tcPr>
            <w:tcW w:w="3107" w:type="dxa"/>
            <w:tcBorders>
              <w:top w:val="nil"/>
              <w:left w:val="nil"/>
              <w:bottom w:val="single" w:sz="12" w:space="0" w:color="FFFFFF"/>
              <w:right w:val="single" w:sz="12" w:space="0" w:color="FFFFFF"/>
            </w:tcBorders>
            <w:shd w:val="clear" w:color="000000" w:fill="A5A5A5"/>
            <w:noWrap/>
            <w:vAlign w:val="center"/>
            <w:hideMark/>
          </w:tcPr>
          <w:p w14:paraId="7FBDFFD8" w14:textId="77777777" w:rsidR="004C7849" w:rsidRPr="004C7849" w:rsidRDefault="004C7849" w:rsidP="004C7849">
            <w:pP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 </w:t>
            </w:r>
          </w:p>
        </w:tc>
        <w:tc>
          <w:tcPr>
            <w:tcW w:w="200" w:type="dxa"/>
            <w:vAlign w:val="center"/>
            <w:hideMark/>
          </w:tcPr>
          <w:p w14:paraId="370D008C"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7645A7B2" w14:textId="77777777" w:rsidTr="004C7849">
        <w:trPr>
          <w:trHeight w:val="3604"/>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4E7AA48F"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lastRenderedPageBreak/>
              <w:t xml:space="preserve">0-6 </w:t>
            </w:r>
          </w:p>
        </w:tc>
        <w:tc>
          <w:tcPr>
            <w:tcW w:w="1354" w:type="dxa"/>
            <w:tcBorders>
              <w:top w:val="nil"/>
              <w:left w:val="nil"/>
              <w:bottom w:val="nil"/>
              <w:right w:val="single" w:sz="12" w:space="0" w:color="FFFFFF"/>
            </w:tcBorders>
            <w:shd w:val="clear" w:color="000000" w:fill="D2D2D2"/>
            <w:vAlign w:val="center"/>
            <w:hideMark/>
          </w:tcPr>
          <w:p w14:paraId="5207F0EB"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60</w:t>
            </w:r>
          </w:p>
        </w:tc>
        <w:tc>
          <w:tcPr>
            <w:tcW w:w="1287" w:type="dxa"/>
            <w:tcBorders>
              <w:top w:val="nil"/>
              <w:left w:val="nil"/>
              <w:bottom w:val="nil"/>
              <w:right w:val="single" w:sz="12" w:space="0" w:color="FFFFFF"/>
            </w:tcBorders>
            <w:shd w:val="clear" w:color="000000" w:fill="D2D2D2"/>
            <w:noWrap/>
            <w:vAlign w:val="center"/>
            <w:hideMark/>
          </w:tcPr>
          <w:p w14:paraId="15B24196"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800</w:t>
            </w:r>
          </w:p>
        </w:tc>
        <w:tc>
          <w:tcPr>
            <w:tcW w:w="1562" w:type="dxa"/>
            <w:tcBorders>
              <w:top w:val="nil"/>
              <w:left w:val="nil"/>
              <w:bottom w:val="nil"/>
              <w:right w:val="single" w:sz="12" w:space="0" w:color="FFFFFF"/>
            </w:tcBorders>
            <w:shd w:val="clear" w:color="000000" w:fill="D2D2D2"/>
            <w:noWrap/>
            <w:vAlign w:val="center"/>
            <w:hideMark/>
          </w:tcPr>
          <w:p w14:paraId="728AE5A4"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400</w:t>
            </w:r>
          </w:p>
        </w:tc>
        <w:tc>
          <w:tcPr>
            <w:tcW w:w="1287" w:type="dxa"/>
            <w:tcBorders>
              <w:top w:val="nil"/>
              <w:left w:val="nil"/>
              <w:bottom w:val="nil"/>
              <w:right w:val="single" w:sz="12" w:space="0" w:color="FFFFFF"/>
            </w:tcBorders>
            <w:shd w:val="clear" w:color="000000" w:fill="D2D2D2"/>
            <w:noWrap/>
            <w:vAlign w:val="center"/>
            <w:hideMark/>
          </w:tcPr>
          <w:p w14:paraId="5598AFB9"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850</w:t>
            </w:r>
          </w:p>
        </w:tc>
        <w:tc>
          <w:tcPr>
            <w:tcW w:w="1562" w:type="dxa"/>
            <w:tcBorders>
              <w:top w:val="nil"/>
              <w:left w:val="nil"/>
              <w:bottom w:val="nil"/>
              <w:right w:val="single" w:sz="12" w:space="0" w:color="FFFFFF"/>
            </w:tcBorders>
            <w:shd w:val="clear" w:color="000000" w:fill="D2D2D2"/>
            <w:noWrap/>
            <w:vAlign w:val="center"/>
            <w:hideMark/>
          </w:tcPr>
          <w:p w14:paraId="5D9A42D1"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425</w:t>
            </w:r>
          </w:p>
        </w:tc>
        <w:tc>
          <w:tcPr>
            <w:tcW w:w="3107" w:type="dxa"/>
            <w:tcBorders>
              <w:top w:val="nil"/>
              <w:left w:val="nil"/>
              <w:bottom w:val="nil"/>
              <w:right w:val="single" w:sz="12" w:space="0" w:color="FFFFFF"/>
            </w:tcBorders>
            <w:shd w:val="clear" w:color="000000" w:fill="D2D2D2"/>
            <w:vAlign w:val="center"/>
            <w:hideMark/>
          </w:tcPr>
          <w:p w14:paraId="02023A60" w14:textId="77777777" w:rsidR="004C7849" w:rsidRPr="004C7849" w:rsidRDefault="004C7849" w:rsidP="004C7849">
            <w:pP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საყოფაცხოვრებო ფართის შემთხვევაში მიერთების საფასურის შესაძლოა განაწილდეს 17 თვეზე. შესაბამისად, მიერთების მსურველი (განმცხადებელი) ვალდებულია მიერთების საფასური გადაიხადოს ყოველთვიურად, 17 თვეზე თანაბარწილად. მათ შორის: პირველი გადასახადი (თვითმართველ ერთეულში) – 50 ლარის ოდენობით, ხოლო დარჩენილი თანხა – ბუნებრივი გაზით მომარაგების დაწყებიდან 16 თვის განმავლობაში. პირველი გადასახადი (არათვითმართველ ერთეულში) – 25 ლარის ოდენობით, ხოლო დარჩენილი თანხა – ბუნებრივი გაზით მომარაგების დაწყებიდან 16 თვის განმავლობაში.</w:t>
            </w:r>
          </w:p>
        </w:tc>
        <w:tc>
          <w:tcPr>
            <w:tcW w:w="200" w:type="dxa"/>
            <w:vAlign w:val="center"/>
            <w:hideMark/>
          </w:tcPr>
          <w:p w14:paraId="2A861E50"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3A0D9CB5" w14:textId="77777777" w:rsidTr="004C7849">
        <w:trPr>
          <w:trHeight w:val="330"/>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693F5731"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t>6-10</w:t>
            </w:r>
          </w:p>
        </w:tc>
        <w:tc>
          <w:tcPr>
            <w:tcW w:w="1354" w:type="dxa"/>
            <w:tcBorders>
              <w:top w:val="nil"/>
              <w:left w:val="nil"/>
              <w:bottom w:val="single" w:sz="12" w:space="0" w:color="FFFFFF"/>
              <w:right w:val="single" w:sz="12" w:space="0" w:color="FFFFFF"/>
            </w:tcBorders>
            <w:shd w:val="clear" w:color="000000" w:fill="E8E8E8"/>
            <w:vAlign w:val="center"/>
            <w:hideMark/>
          </w:tcPr>
          <w:p w14:paraId="3E00D2A2"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60</w:t>
            </w:r>
          </w:p>
        </w:tc>
        <w:tc>
          <w:tcPr>
            <w:tcW w:w="1287" w:type="dxa"/>
            <w:tcBorders>
              <w:top w:val="nil"/>
              <w:left w:val="nil"/>
              <w:bottom w:val="single" w:sz="12" w:space="0" w:color="FFFFFF"/>
              <w:right w:val="single" w:sz="12" w:space="0" w:color="FFFFFF"/>
            </w:tcBorders>
            <w:shd w:val="clear" w:color="000000" w:fill="E8E8E8"/>
            <w:vAlign w:val="center"/>
            <w:hideMark/>
          </w:tcPr>
          <w:p w14:paraId="409D76E7"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2,000</w:t>
            </w:r>
          </w:p>
        </w:tc>
        <w:tc>
          <w:tcPr>
            <w:tcW w:w="1562" w:type="dxa"/>
            <w:tcBorders>
              <w:top w:val="nil"/>
              <w:left w:val="nil"/>
              <w:bottom w:val="single" w:sz="12" w:space="0" w:color="FFFFFF"/>
              <w:right w:val="single" w:sz="12" w:space="0" w:color="FFFFFF"/>
            </w:tcBorders>
            <w:shd w:val="clear" w:color="000000" w:fill="E8E8E8"/>
            <w:vAlign w:val="center"/>
            <w:hideMark/>
          </w:tcPr>
          <w:p w14:paraId="73E764E4"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1,800</w:t>
            </w:r>
          </w:p>
        </w:tc>
        <w:tc>
          <w:tcPr>
            <w:tcW w:w="1287" w:type="dxa"/>
            <w:tcBorders>
              <w:top w:val="nil"/>
              <w:left w:val="nil"/>
              <w:bottom w:val="single" w:sz="12" w:space="0" w:color="FFFFFF"/>
              <w:right w:val="single" w:sz="12" w:space="0" w:color="FFFFFF"/>
            </w:tcBorders>
            <w:shd w:val="clear" w:color="000000" w:fill="E8E8E8"/>
            <w:noWrap/>
            <w:vAlign w:val="center"/>
            <w:hideMark/>
          </w:tcPr>
          <w:p w14:paraId="0F166B07"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1562" w:type="dxa"/>
            <w:tcBorders>
              <w:top w:val="nil"/>
              <w:left w:val="nil"/>
              <w:bottom w:val="single" w:sz="12" w:space="0" w:color="FFFFFF"/>
              <w:right w:val="single" w:sz="12" w:space="0" w:color="FFFFFF"/>
            </w:tcBorders>
            <w:shd w:val="clear" w:color="000000" w:fill="E8E8E8"/>
            <w:noWrap/>
            <w:vAlign w:val="center"/>
            <w:hideMark/>
          </w:tcPr>
          <w:p w14:paraId="6A14AA1B"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3107" w:type="dxa"/>
            <w:vMerge w:val="restart"/>
            <w:tcBorders>
              <w:top w:val="single" w:sz="12" w:space="0" w:color="FFFFFF"/>
              <w:left w:val="single" w:sz="12" w:space="0" w:color="FFFFFF"/>
              <w:bottom w:val="single" w:sz="12" w:space="0" w:color="FFFFFF"/>
              <w:right w:val="nil"/>
            </w:tcBorders>
            <w:shd w:val="clear" w:color="000000" w:fill="E8E8E8"/>
            <w:vAlign w:val="center"/>
            <w:hideMark/>
          </w:tcPr>
          <w:p w14:paraId="35CEC159" w14:textId="77777777" w:rsidR="004C7849" w:rsidRPr="004C7849" w:rsidRDefault="004C7849" w:rsidP="004C7849">
            <w:pP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val="ka-GE" w:eastAsia="en-US"/>
              </w:rPr>
              <w:t>თანხის გადახდა შესაძლებელია სრულად ან ორ ეტაპად. პირველადი შენატანი -50 % განაცხადის რეგისტრაციისას, დარჩენილი 50% - ბუნებრივი გაზით მომარაგების დაწყებიდან ან მრიცხველის ექსპლუატაციაში გაშვებიდან 10 სამუშაო დღეში</w:t>
            </w:r>
          </w:p>
        </w:tc>
        <w:tc>
          <w:tcPr>
            <w:tcW w:w="200" w:type="dxa"/>
            <w:vAlign w:val="center"/>
            <w:hideMark/>
          </w:tcPr>
          <w:p w14:paraId="57DC509E"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1CFFF713" w14:textId="77777777" w:rsidTr="004C7849">
        <w:trPr>
          <w:trHeight w:val="330"/>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3741A764"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t>10-16</w:t>
            </w:r>
          </w:p>
        </w:tc>
        <w:tc>
          <w:tcPr>
            <w:tcW w:w="1354" w:type="dxa"/>
            <w:tcBorders>
              <w:top w:val="nil"/>
              <w:left w:val="nil"/>
              <w:bottom w:val="single" w:sz="12" w:space="0" w:color="FFFFFF"/>
              <w:right w:val="single" w:sz="12" w:space="0" w:color="FFFFFF"/>
            </w:tcBorders>
            <w:shd w:val="clear" w:color="000000" w:fill="D2D2D2"/>
            <w:vAlign w:val="center"/>
            <w:hideMark/>
          </w:tcPr>
          <w:p w14:paraId="6CBF86C9"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60</w:t>
            </w:r>
          </w:p>
        </w:tc>
        <w:tc>
          <w:tcPr>
            <w:tcW w:w="1287" w:type="dxa"/>
            <w:tcBorders>
              <w:top w:val="nil"/>
              <w:left w:val="nil"/>
              <w:bottom w:val="single" w:sz="12" w:space="0" w:color="FFFFFF"/>
              <w:right w:val="single" w:sz="12" w:space="0" w:color="FFFFFF"/>
            </w:tcBorders>
            <w:shd w:val="clear" w:color="000000" w:fill="D2D2D2"/>
            <w:vAlign w:val="center"/>
            <w:hideMark/>
          </w:tcPr>
          <w:p w14:paraId="0AA2B699"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3,000</w:t>
            </w:r>
          </w:p>
        </w:tc>
        <w:tc>
          <w:tcPr>
            <w:tcW w:w="1562" w:type="dxa"/>
            <w:tcBorders>
              <w:top w:val="nil"/>
              <w:left w:val="nil"/>
              <w:bottom w:val="single" w:sz="12" w:space="0" w:color="FFFFFF"/>
              <w:right w:val="single" w:sz="12" w:space="0" w:color="FFFFFF"/>
            </w:tcBorders>
            <w:shd w:val="clear" w:color="000000" w:fill="D2D2D2"/>
            <w:vAlign w:val="center"/>
            <w:hideMark/>
          </w:tcPr>
          <w:p w14:paraId="1F43BC83"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2,800</w:t>
            </w:r>
          </w:p>
        </w:tc>
        <w:tc>
          <w:tcPr>
            <w:tcW w:w="1287" w:type="dxa"/>
            <w:tcBorders>
              <w:top w:val="nil"/>
              <w:left w:val="nil"/>
              <w:bottom w:val="single" w:sz="12" w:space="0" w:color="FFFFFF"/>
              <w:right w:val="single" w:sz="12" w:space="0" w:color="FFFFFF"/>
            </w:tcBorders>
            <w:shd w:val="clear" w:color="000000" w:fill="D2D2D2"/>
            <w:noWrap/>
            <w:vAlign w:val="center"/>
            <w:hideMark/>
          </w:tcPr>
          <w:p w14:paraId="04A3B886"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1562" w:type="dxa"/>
            <w:tcBorders>
              <w:top w:val="nil"/>
              <w:left w:val="nil"/>
              <w:bottom w:val="single" w:sz="12" w:space="0" w:color="FFFFFF"/>
              <w:right w:val="single" w:sz="12" w:space="0" w:color="FFFFFF"/>
            </w:tcBorders>
            <w:shd w:val="clear" w:color="000000" w:fill="D2D2D2"/>
            <w:noWrap/>
            <w:vAlign w:val="center"/>
            <w:hideMark/>
          </w:tcPr>
          <w:p w14:paraId="17EA925F"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3107" w:type="dxa"/>
            <w:vMerge/>
            <w:tcBorders>
              <w:top w:val="single" w:sz="12" w:space="0" w:color="FFFFFF"/>
              <w:left w:val="single" w:sz="12" w:space="0" w:color="FFFFFF"/>
              <w:bottom w:val="single" w:sz="12" w:space="0" w:color="FFFFFF"/>
              <w:right w:val="nil"/>
            </w:tcBorders>
            <w:vAlign w:val="center"/>
            <w:hideMark/>
          </w:tcPr>
          <w:p w14:paraId="1CFE0800" w14:textId="77777777" w:rsidR="004C7849" w:rsidRPr="004C7849" w:rsidRDefault="004C7849" w:rsidP="004C7849">
            <w:pPr>
              <w:rPr>
                <w:rFonts w:ascii="BPGCond" w:eastAsia="Times New Roman" w:hAnsi="BPGCond" w:cs="Calibri"/>
                <w:color w:val="3C4B64"/>
                <w:sz w:val="17"/>
                <w:szCs w:val="18"/>
                <w:lang w:eastAsia="en-US"/>
              </w:rPr>
            </w:pPr>
          </w:p>
        </w:tc>
        <w:tc>
          <w:tcPr>
            <w:tcW w:w="200" w:type="dxa"/>
            <w:vAlign w:val="center"/>
            <w:hideMark/>
          </w:tcPr>
          <w:p w14:paraId="5885B866"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7C6DE606" w14:textId="77777777" w:rsidTr="004C7849">
        <w:trPr>
          <w:trHeight w:val="330"/>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22B65B76"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t>16-25</w:t>
            </w:r>
          </w:p>
        </w:tc>
        <w:tc>
          <w:tcPr>
            <w:tcW w:w="1354" w:type="dxa"/>
            <w:tcBorders>
              <w:top w:val="nil"/>
              <w:left w:val="nil"/>
              <w:bottom w:val="single" w:sz="12" w:space="0" w:color="FFFFFF"/>
              <w:right w:val="single" w:sz="12" w:space="0" w:color="FFFFFF"/>
            </w:tcBorders>
            <w:shd w:val="clear" w:color="000000" w:fill="E8E8E8"/>
            <w:vAlign w:val="center"/>
            <w:hideMark/>
          </w:tcPr>
          <w:p w14:paraId="48DF8340"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65</w:t>
            </w:r>
          </w:p>
        </w:tc>
        <w:tc>
          <w:tcPr>
            <w:tcW w:w="1287" w:type="dxa"/>
            <w:tcBorders>
              <w:top w:val="nil"/>
              <w:left w:val="nil"/>
              <w:bottom w:val="single" w:sz="12" w:space="0" w:color="FFFFFF"/>
              <w:right w:val="single" w:sz="12" w:space="0" w:color="FFFFFF"/>
            </w:tcBorders>
            <w:shd w:val="clear" w:color="000000" w:fill="E8E8E8"/>
            <w:vAlign w:val="center"/>
            <w:hideMark/>
          </w:tcPr>
          <w:p w14:paraId="41BB0FBB"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3,200</w:t>
            </w:r>
          </w:p>
        </w:tc>
        <w:tc>
          <w:tcPr>
            <w:tcW w:w="1562" w:type="dxa"/>
            <w:tcBorders>
              <w:top w:val="nil"/>
              <w:left w:val="nil"/>
              <w:bottom w:val="single" w:sz="12" w:space="0" w:color="FFFFFF"/>
              <w:right w:val="single" w:sz="12" w:space="0" w:color="FFFFFF"/>
            </w:tcBorders>
            <w:shd w:val="clear" w:color="000000" w:fill="E8E8E8"/>
            <w:vAlign w:val="center"/>
            <w:hideMark/>
          </w:tcPr>
          <w:p w14:paraId="40575ED6"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3,000</w:t>
            </w:r>
          </w:p>
        </w:tc>
        <w:tc>
          <w:tcPr>
            <w:tcW w:w="1287" w:type="dxa"/>
            <w:tcBorders>
              <w:top w:val="nil"/>
              <w:left w:val="nil"/>
              <w:bottom w:val="single" w:sz="12" w:space="0" w:color="FFFFFF"/>
              <w:right w:val="single" w:sz="12" w:space="0" w:color="FFFFFF"/>
            </w:tcBorders>
            <w:shd w:val="clear" w:color="000000" w:fill="E8E8E8"/>
            <w:noWrap/>
            <w:vAlign w:val="center"/>
            <w:hideMark/>
          </w:tcPr>
          <w:p w14:paraId="72DE12C7"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1562" w:type="dxa"/>
            <w:tcBorders>
              <w:top w:val="nil"/>
              <w:left w:val="nil"/>
              <w:bottom w:val="single" w:sz="12" w:space="0" w:color="FFFFFF"/>
              <w:right w:val="single" w:sz="12" w:space="0" w:color="FFFFFF"/>
            </w:tcBorders>
            <w:shd w:val="clear" w:color="000000" w:fill="E8E8E8"/>
            <w:noWrap/>
            <w:vAlign w:val="center"/>
            <w:hideMark/>
          </w:tcPr>
          <w:p w14:paraId="4C8350BB"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3107" w:type="dxa"/>
            <w:vMerge/>
            <w:tcBorders>
              <w:top w:val="single" w:sz="12" w:space="0" w:color="FFFFFF"/>
              <w:left w:val="single" w:sz="12" w:space="0" w:color="FFFFFF"/>
              <w:bottom w:val="single" w:sz="12" w:space="0" w:color="FFFFFF"/>
              <w:right w:val="nil"/>
            </w:tcBorders>
            <w:vAlign w:val="center"/>
            <w:hideMark/>
          </w:tcPr>
          <w:p w14:paraId="64BCFA43" w14:textId="77777777" w:rsidR="004C7849" w:rsidRPr="004C7849" w:rsidRDefault="004C7849" w:rsidP="004C7849">
            <w:pPr>
              <w:rPr>
                <w:rFonts w:ascii="BPGCond" w:eastAsia="Times New Roman" w:hAnsi="BPGCond" w:cs="Calibri"/>
                <w:color w:val="3C4B64"/>
                <w:sz w:val="17"/>
                <w:szCs w:val="18"/>
                <w:lang w:eastAsia="en-US"/>
              </w:rPr>
            </w:pPr>
          </w:p>
        </w:tc>
        <w:tc>
          <w:tcPr>
            <w:tcW w:w="200" w:type="dxa"/>
            <w:vAlign w:val="center"/>
            <w:hideMark/>
          </w:tcPr>
          <w:p w14:paraId="40D9BE7F"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3B3CCB33" w14:textId="77777777" w:rsidTr="004C7849">
        <w:trPr>
          <w:trHeight w:val="330"/>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1F1E76DB"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t>25-40</w:t>
            </w:r>
          </w:p>
        </w:tc>
        <w:tc>
          <w:tcPr>
            <w:tcW w:w="1354" w:type="dxa"/>
            <w:tcBorders>
              <w:top w:val="nil"/>
              <w:left w:val="nil"/>
              <w:bottom w:val="single" w:sz="12" w:space="0" w:color="FFFFFF"/>
              <w:right w:val="single" w:sz="12" w:space="0" w:color="FFFFFF"/>
            </w:tcBorders>
            <w:shd w:val="clear" w:color="000000" w:fill="D2D2D2"/>
            <w:vAlign w:val="center"/>
            <w:hideMark/>
          </w:tcPr>
          <w:p w14:paraId="6EC28101"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65</w:t>
            </w:r>
          </w:p>
        </w:tc>
        <w:tc>
          <w:tcPr>
            <w:tcW w:w="1287" w:type="dxa"/>
            <w:tcBorders>
              <w:top w:val="nil"/>
              <w:left w:val="nil"/>
              <w:bottom w:val="single" w:sz="12" w:space="0" w:color="FFFFFF"/>
              <w:right w:val="single" w:sz="12" w:space="0" w:color="FFFFFF"/>
            </w:tcBorders>
            <w:shd w:val="clear" w:color="000000" w:fill="D2D2D2"/>
            <w:vAlign w:val="center"/>
            <w:hideMark/>
          </w:tcPr>
          <w:p w14:paraId="36DBEE36"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3,800</w:t>
            </w:r>
          </w:p>
        </w:tc>
        <w:tc>
          <w:tcPr>
            <w:tcW w:w="1562" w:type="dxa"/>
            <w:tcBorders>
              <w:top w:val="nil"/>
              <w:left w:val="nil"/>
              <w:bottom w:val="single" w:sz="12" w:space="0" w:color="FFFFFF"/>
              <w:right w:val="single" w:sz="12" w:space="0" w:color="FFFFFF"/>
            </w:tcBorders>
            <w:shd w:val="clear" w:color="000000" w:fill="D2D2D2"/>
            <w:vAlign w:val="center"/>
            <w:hideMark/>
          </w:tcPr>
          <w:p w14:paraId="2E4E685B"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3,500</w:t>
            </w:r>
          </w:p>
        </w:tc>
        <w:tc>
          <w:tcPr>
            <w:tcW w:w="1287" w:type="dxa"/>
            <w:tcBorders>
              <w:top w:val="nil"/>
              <w:left w:val="nil"/>
              <w:bottom w:val="single" w:sz="12" w:space="0" w:color="FFFFFF"/>
              <w:right w:val="single" w:sz="12" w:space="0" w:color="FFFFFF"/>
            </w:tcBorders>
            <w:shd w:val="clear" w:color="000000" w:fill="D2D2D2"/>
            <w:noWrap/>
            <w:vAlign w:val="center"/>
            <w:hideMark/>
          </w:tcPr>
          <w:p w14:paraId="110643A1"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1562" w:type="dxa"/>
            <w:tcBorders>
              <w:top w:val="nil"/>
              <w:left w:val="nil"/>
              <w:bottom w:val="single" w:sz="12" w:space="0" w:color="FFFFFF"/>
              <w:right w:val="single" w:sz="12" w:space="0" w:color="FFFFFF"/>
            </w:tcBorders>
            <w:shd w:val="clear" w:color="000000" w:fill="D2D2D2"/>
            <w:noWrap/>
            <w:vAlign w:val="center"/>
            <w:hideMark/>
          </w:tcPr>
          <w:p w14:paraId="385D1F6D"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3107" w:type="dxa"/>
            <w:vMerge/>
            <w:tcBorders>
              <w:top w:val="single" w:sz="12" w:space="0" w:color="FFFFFF"/>
              <w:left w:val="single" w:sz="12" w:space="0" w:color="FFFFFF"/>
              <w:bottom w:val="single" w:sz="12" w:space="0" w:color="FFFFFF"/>
              <w:right w:val="nil"/>
            </w:tcBorders>
            <w:vAlign w:val="center"/>
            <w:hideMark/>
          </w:tcPr>
          <w:p w14:paraId="678B6B51" w14:textId="77777777" w:rsidR="004C7849" w:rsidRPr="004C7849" w:rsidRDefault="004C7849" w:rsidP="004C7849">
            <w:pPr>
              <w:rPr>
                <w:rFonts w:ascii="BPGCond" w:eastAsia="Times New Roman" w:hAnsi="BPGCond" w:cs="Calibri"/>
                <w:color w:val="3C4B64"/>
                <w:sz w:val="17"/>
                <w:szCs w:val="18"/>
                <w:lang w:eastAsia="en-US"/>
              </w:rPr>
            </w:pPr>
          </w:p>
        </w:tc>
        <w:tc>
          <w:tcPr>
            <w:tcW w:w="200" w:type="dxa"/>
            <w:vAlign w:val="center"/>
            <w:hideMark/>
          </w:tcPr>
          <w:p w14:paraId="6AA0F0A5"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61E26F22" w14:textId="77777777" w:rsidTr="004C7849">
        <w:trPr>
          <w:trHeight w:val="330"/>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264C3487"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t>40-65</w:t>
            </w:r>
          </w:p>
        </w:tc>
        <w:tc>
          <w:tcPr>
            <w:tcW w:w="1354" w:type="dxa"/>
            <w:tcBorders>
              <w:top w:val="nil"/>
              <w:left w:val="nil"/>
              <w:bottom w:val="single" w:sz="12" w:space="0" w:color="FFFFFF"/>
              <w:right w:val="single" w:sz="12" w:space="0" w:color="FFFFFF"/>
            </w:tcBorders>
            <w:shd w:val="clear" w:color="000000" w:fill="E8E8E8"/>
            <w:vAlign w:val="center"/>
            <w:hideMark/>
          </w:tcPr>
          <w:p w14:paraId="5487E014"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65</w:t>
            </w:r>
          </w:p>
        </w:tc>
        <w:tc>
          <w:tcPr>
            <w:tcW w:w="1287" w:type="dxa"/>
            <w:tcBorders>
              <w:top w:val="nil"/>
              <w:left w:val="nil"/>
              <w:bottom w:val="single" w:sz="12" w:space="0" w:color="FFFFFF"/>
              <w:right w:val="single" w:sz="12" w:space="0" w:color="FFFFFF"/>
            </w:tcBorders>
            <w:shd w:val="clear" w:color="000000" w:fill="E8E8E8"/>
            <w:vAlign w:val="center"/>
            <w:hideMark/>
          </w:tcPr>
          <w:p w14:paraId="7BAC5294"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12,000</w:t>
            </w:r>
          </w:p>
        </w:tc>
        <w:tc>
          <w:tcPr>
            <w:tcW w:w="1562" w:type="dxa"/>
            <w:tcBorders>
              <w:top w:val="nil"/>
              <w:left w:val="nil"/>
              <w:bottom w:val="single" w:sz="12" w:space="0" w:color="FFFFFF"/>
              <w:right w:val="single" w:sz="12" w:space="0" w:color="FFFFFF"/>
            </w:tcBorders>
            <w:shd w:val="clear" w:color="000000" w:fill="E8E8E8"/>
            <w:vAlign w:val="center"/>
            <w:hideMark/>
          </w:tcPr>
          <w:p w14:paraId="1CE8E683"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11,500</w:t>
            </w:r>
          </w:p>
        </w:tc>
        <w:tc>
          <w:tcPr>
            <w:tcW w:w="1287" w:type="dxa"/>
            <w:tcBorders>
              <w:top w:val="nil"/>
              <w:left w:val="nil"/>
              <w:bottom w:val="single" w:sz="12" w:space="0" w:color="FFFFFF"/>
              <w:right w:val="single" w:sz="12" w:space="0" w:color="FFFFFF"/>
            </w:tcBorders>
            <w:shd w:val="clear" w:color="000000" w:fill="E8E8E8"/>
            <w:noWrap/>
            <w:vAlign w:val="center"/>
            <w:hideMark/>
          </w:tcPr>
          <w:p w14:paraId="2DDFF50D"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1562" w:type="dxa"/>
            <w:tcBorders>
              <w:top w:val="nil"/>
              <w:left w:val="nil"/>
              <w:bottom w:val="single" w:sz="12" w:space="0" w:color="FFFFFF"/>
              <w:right w:val="single" w:sz="12" w:space="0" w:color="FFFFFF"/>
            </w:tcBorders>
            <w:shd w:val="clear" w:color="000000" w:fill="E8E8E8"/>
            <w:noWrap/>
            <w:vAlign w:val="center"/>
            <w:hideMark/>
          </w:tcPr>
          <w:p w14:paraId="03C8B5D0"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3107" w:type="dxa"/>
            <w:vMerge/>
            <w:tcBorders>
              <w:top w:val="single" w:sz="12" w:space="0" w:color="FFFFFF"/>
              <w:left w:val="single" w:sz="12" w:space="0" w:color="FFFFFF"/>
              <w:bottom w:val="single" w:sz="12" w:space="0" w:color="FFFFFF"/>
              <w:right w:val="nil"/>
            </w:tcBorders>
            <w:vAlign w:val="center"/>
            <w:hideMark/>
          </w:tcPr>
          <w:p w14:paraId="45F3A7FB" w14:textId="77777777" w:rsidR="004C7849" w:rsidRPr="004C7849" w:rsidRDefault="004C7849" w:rsidP="004C7849">
            <w:pPr>
              <w:rPr>
                <w:rFonts w:ascii="BPGCond" w:eastAsia="Times New Roman" w:hAnsi="BPGCond" w:cs="Calibri"/>
                <w:color w:val="3C4B64"/>
                <w:sz w:val="17"/>
                <w:szCs w:val="18"/>
                <w:lang w:eastAsia="en-US"/>
              </w:rPr>
            </w:pPr>
          </w:p>
        </w:tc>
        <w:tc>
          <w:tcPr>
            <w:tcW w:w="200" w:type="dxa"/>
            <w:vAlign w:val="center"/>
            <w:hideMark/>
          </w:tcPr>
          <w:p w14:paraId="2F802399" w14:textId="77777777" w:rsidR="004C7849" w:rsidRPr="004C7849" w:rsidRDefault="004C7849" w:rsidP="004C7849">
            <w:pPr>
              <w:rPr>
                <w:rFonts w:ascii="Times New Roman" w:eastAsia="Times New Roman" w:hAnsi="Times New Roman" w:cs="Times New Roman"/>
                <w:sz w:val="17"/>
                <w:szCs w:val="18"/>
                <w:lang w:eastAsia="en-US"/>
              </w:rPr>
            </w:pPr>
          </w:p>
        </w:tc>
      </w:tr>
      <w:tr w:rsidR="004C7849" w:rsidRPr="004C7849" w14:paraId="1B8C8844" w14:textId="77777777" w:rsidTr="004C7849">
        <w:trPr>
          <w:trHeight w:val="330"/>
        </w:trPr>
        <w:tc>
          <w:tcPr>
            <w:tcW w:w="1174" w:type="dxa"/>
            <w:tcBorders>
              <w:top w:val="nil"/>
              <w:left w:val="single" w:sz="12" w:space="0" w:color="FFFFFF"/>
              <w:bottom w:val="single" w:sz="12" w:space="0" w:color="FFFFFF"/>
              <w:right w:val="single" w:sz="12" w:space="0" w:color="FFFFFF"/>
            </w:tcBorders>
            <w:shd w:val="clear" w:color="000000" w:fill="A5A5A5"/>
            <w:vAlign w:val="center"/>
            <w:hideMark/>
          </w:tcPr>
          <w:p w14:paraId="46CE614A" w14:textId="77777777" w:rsidR="004C7849" w:rsidRPr="004C7849" w:rsidRDefault="004C7849" w:rsidP="004C7849">
            <w:pPr>
              <w:jc w:val="center"/>
              <w:rPr>
                <w:rFonts w:ascii="BPGCond" w:eastAsia="Times New Roman" w:hAnsi="BPGCond" w:cs="Calibri"/>
                <w:b/>
                <w:bCs/>
                <w:color w:val="3C4B64"/>
                <w:sz w:val="17"/>
                <w:szCs w:val="18"/>
                <w:lang w:eastAsia="en-US"/>
              </w:rPr>
            </w:pPr>
            <w:r w:rsidRPr="004C7849">
              <w:rPr>
                <w:rFonts w:ascii="BPGCond" w:eastAsia="Times New Roman" w:hAnsi="BPGCond" w:cs="Calibri"/>
                <w:b/>
                <w:bCs/>
                <w:color w:val="3C4B64"/>
                <w:sz w:val="17"/>
                <w:szCs w:val="18"/>
                <w:lang w:eastAsia="en-US"/>
              </w:rPr>
              <w:t>65-10</w:t>
            </w:r>
          </w:p>
        </w:tc>
        <w:tc>
          <w:tcPr>
            <w:tcW w:w="1354" w:type="dxa"/>
            <w:tcBorders>
              <w:top w:val="nil"/>
              <w:left w:val="nil"/>
              <w:bottom w:val="single" w:sz="12" w:space="0" w:color="FFFFFF"/>
              <w:right w:val="single" w:sz="12" w:space="0" w:color="FFFFFF"/>
            </w:tcBorders>
            <w:shd w:val="clear" w:color="000000" w:fill="D2D2D2"/>
            <w:vAlign w:val="center"/>
            <w:hideMark/>
          </w:tcPr>
          <w:p w14:paraId="767729F9"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70</w:t>
            </w:r>
          </w:p>
        </w:tc>
        <w:tc>
          <w:tcPr>
            <w:tcW w:w="1287" w:type="dxa"/>
            <w:tcBorders>
              <w:top w:val="nil"/>
              <w:left w:val="nil"/>
              <w:bottom w:val="single" w:sz="12" w:space="0" w:color="FFFFFF"/>
              <w:right w:val="single" w:sz="12" w:space="0" w:color="FFFFFF"/>
            </w:tcBorders>
            <w:shd w:val="clear" w:color="000000" w:fill="D2D2D2"/>
            <w:vAlign w:val="center"/>
            <w:hideMark/>
          </w:tcPr>
          <w:p w14:paraId="54922A58"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13,000</w:t>
            </w:r>
          </w:p>
        </w:tc>
        <w:tc>
          <w:tcPr>
            <w:tcW w:w="1562" w:type="dxa"/>
            <w:tcBorders>
              <w:top w:val="nil"/>
              <w:left w:val="nil"/>
              <w:bottom w:val="single" w:sz="12" w:space="0" w:color="FFFFFF"/>
              <w:right w:val="single" w:sz="12" w:space="0" w:color="FFFFFF"/>
            </w:tcBorders>
            <w:shd w:val="clear" w:color="000000" w:fill="D2D2D2"/>
            <w:vAlign w:val="center"/>
            <w:hideMark/>
          </w:tcPr>
          <w:p w14:paraId="066F5999" w14:textId="77777777" w:rsidR="004C7849" w:rsidRPr="004C7849" w:rsidRDefault="004C7849" w:rsidP="004C7849">
            <w:pPr>
              <w:jc w:val="center"/>
              <w:rPr>
                <w:rFonts w:ascii="BPGCond" w:eastAsia="Times New Roman" w:hAnsi="BPGCond" w:cs="Calibri"/>
                <w:color w:val="3C4B64"/>
                <w:sz w:val="17"/>
                <w:szCs w:val="18"/>
                <w:lang w:eastAsia="en-US"/>
              </w:rPr>
            </w:pPr>
            <w:r w:rsidRPr="004C7849">
              <w:rPr>
                <w:rFonts w:ascii="BPGCond" w:eastAsia="Times New Roman" w:hAnsi="BPGCond" w:cs="Calibri"/>
                <w:color w:val="3C4B64"/>
                <w:sz w:val="17"/>
                <w:szCs w:val="18"/>
                <w:lang w:eastAsia="en-US"/>
              </w:rPr>
              <w:t>12,500</w:t>
            </w:r>
          </w:p>
        </w:tc>
        <w:tc>
          <w:tcPr>
            <w:tcW w:w="1287" w:type="dxa"/>
            <w:tcBorders>
              <w:top w:val="nil"/>
              <w:left w:val="nil"/>
              <w:bottom w:val="single" w:sz="12" w:space="0" w:color="FFFFFF"/>
              <w:right w:val="single" w:sz="12" w:space="0" w:color="FFFFFF"/>
            </w:tcBorders>
            <w:shd w:val="clear" w:color="000000" w:fill="D2D2D2"/>
            <w:noWrap/>
            <w:vAlign w:val="center"/>
            <w:hideMark/>
          </w:tcPr>
          <w:p w14:paraId="78CCFE12"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1562" w:type="dxa"/>
            <w:tcBorders>
              <w:top w:val="nil"/>
              <w:left w:val="nil"/>
              <w:bottom w:val="single" w:sz="12" w:space="0" w:color="FFFFFF"/>
              <w:right w:val="single" w:sz="12" w:space="0" w:color="FFFFFF"/>
            </w:tcBorders>
            <w:shd w:val="clear" w:color="000000" w:fill="D2D2D2"/>
            <w:noWrap/>
            <w:vAlign w:val="center"/>
            <w:hideMark/>
          </w:tcPr>
          <w:p w14:paraId="6B3C0148" w14:textId="77777777" w:rsidR="004C7849" w:rsidRPr="004C7849" w:rsidRDefault="004C7849" w:rsidP="004C7849">
            <w:pPr>
              <w:jc w:val="center"/>
              <w:rPr>
                <w:rFonts w:ascii="Calibri" w:eastAsia="Times New Roman" w:hAnsi="Calibri" w:cs="Calibri"/>
                <w:color w:val="000000"/>
                <w:sz w:val="17"/>
                <w:szCs w:val="18"/>
                <w:lang w:eastAsia="en-US"/>
              </w:rPr>
            </w:pPr>
            <w:r w:rsidRPr="004C7849">
              <w:rPr>
                <w:rFonts w:ascii="Calibri" w:eastAsia="Times New Roman" w:hAnsi="Calibri" w:cs="Calibri"/>
                <w:color w:val="000000"/>
                <w:sz w:val="17"/>
                <w:szCs w:val="18"/>
                <w:lang w:eastAsia="en-US"/>
              </w:rPr>
              <w:t>-</w:t>
            </w:r>
          </w:p>
        </w:tc>
        <w:tc>
          <w:tcPr>
            <w:tcW w:w="3107" w:type="dxa"/>
            <w:vMerge/>
            <w:tcBorders>
              <w:top w:val="single" w:sz="12" w:space="0" w:color="FFFFFF"/>
              <w:left w:val="single" w:sz="12" w:space="0" w:color="FFFFFF"/>
              <w:bottom w:val="single" w:sz="12" w:space="0" w:color="FFFFFF"/>
              <w:right w:val="nil"/>
            </w:tcBorders>
            <w:vAlign w:val="center"/>
            <w:hideMark/>
          </w:tcPr>
          <w:p w14:paraId="780A1406" w14:textId="77777777" w:rsidR="004C7849" w:rsidRPr="004C7849" w:rsidRDefault="004C7849" w:rsidP="004C7849">
            <w:pPr>
              <w:rPr>
                <w:rFonts w:ascii="BPGCond" w:eastAsia="Times New Roman" w:hAnsi="BPGCond" w:cs="Calibri"/>
                <w:color w:val="3C4B64"/>
                <w:sz w:val="17"/>
                <w:szCs w:val="18"/>
                <w:lang w:eastAsia="en-US"/>
              </w:rPr>
            </w:pPr>
          </w:p>
        </w:tc>
        <w:tc>
          <w:tcPr>
            <w:tcW w:w="200" w:type="dxa"/>
            <w:vAlign w:val="center"/>
            <w:hideMark/>
          </w:tcPr>
          <w:p w14:paraId="35AF2789" w14:textId="77777777" w:rsidR="004C7849" w:rsidRPr="004C7849" w:rsidRDefault="004C7849" w:rsidP="004C7849">
            <w:pPr>
              <w:rPr>
                <w:rFonts w:ascii="Times New Roman" w:eastAsia="Times New Roman" w:hAnsi="Times New Roman" w:cs="Times New Roman"/>
                <w:sz w:val="17"/>
                <w:szCs w:val="18"/>
                <w:lang w:eastAsia="en-US"/>
              </w:rPr>
            </w:pPr>
          </w:p>
        </w:tc>
      </w:tr>
      <w:bookmarkEnd w:id="1"/>
    </w:tbl>
    <w:p w14:paraId="77803727" w14:textId="283EF210" w:rsidR="004C7849" w:rsidRDefault="004C7849" w:rsidP="004C7849">
      <w:pPr>
        <w:spacing w:after="200" w:line="259" w:lineRule="atLeast"/>
        <w:ind w:leftChars="405" w:left="810" w:rightChars="180" w:right="360" w:firstLine="450"/>
        <w:jc w:val="both"/>
        <w:rPr>
          <w:rFonts w:ascii="Sylfaen" w:eastAsiaTheme="majorEastAsia" w:hAnsi="Sylfaen" w:cstheme="majorBidi"/>
          <w:sz w:val="24"/>
          <w:szCs w:val="24"/>
          <w:lang w:val="ka-GE"/>
        </w:rPr>
      </w:pPr>
    </w:p>
    <w:p w14:paraId="19E7CE56" w14:textId="3D736D40" w:rsidR="004C7849" w:rsidRDefault="004C7849" w:rsidP="004C7849">
      <w:pPr>
        <w:tabs>
          <w:tab w:val="left" w:pos="420"/>
        </w:tabs>
        <w:spacing w:after="200" w:line="259" w:lineRule="atLeast"/>
        <w:jc w:val="both"/>
        <w:rPr>
          <w:rFonts w:ascii="BPGCond" w:eastAsia="BPGCond" w:hAnsi="BPGCond" w:cs="BPGCond"/>
          <w:color w:val="3C4B64"/>
          <w:sz w:val="19"/>
          <w:szCs w:val="19"/>
          <w:shd w:val="clear" w:color="auto" w:fill="FFFFFF"/>
          <w:lang w:val="ka-GE"/>
        </w:rPr>
      </w:pPr>
      <w:r>
        <w:rPr>
          <w:rFonts w:ascii="BPGCond" w:eastAsia="BPGCond" w:hAnsi="BPGCond" w:cs="BPGCond"/>
          <w:color w:val="3C4B64"/>
          <w:sz w:val="19"/>
          <w:szCs w:val="19"/>
          <w:shd w:val="clear" w:color="auto" w:fill="FFFFFF"/>
        </w:rPr>
        <w:t>*</w:t>
      </w:r>
      <w:r w:rsidR="00E072FB">
        <w:rPr>
          <w:rFonts w:ascii="BPGCond" w:eastAsia="BPGCond" w:hAnsi="BPGCond" w:cs="BPGCond"/>
          <w:color w:val="3C4B64"/>
          <w:sz w:val="19"/>
          <w:szCs w:val="19"/>
          <w:shd w:val="clear" w:color="auto" w:fill="FFFFFF"/>
          <w:lang w:val="ka-GE"/>
        </w:rPr>
        <w:t xml:space="preserve"> </w:t>
      </w:r>
      <w:r>
        <w:rPr>
          <w:rFonts w:ascii="BPGCond" w:eastAsia="BPGCond" w:hAnsi="BPGCond" w:cs="BPGCond"/>
          <w:color w:val="3C4B64"/>
          <w:sz w:val="19"/>
          <w:szCs w:val="19"/>
          <w:shd w:val="clear" w:color="auto" w:fill="FFFFFF"/>
          <w:cs/>
          <w:lang w:bidi="ka-GE"/>
        </w:rPr>
        <w:t>მოთხოვნილი სიმძლავრე გაანგარიშდება გაზის თქვენთვის სასურველი დანადგარების მოხმარების სიმძლავრეების დაჯამებით</w:t>
      </w:r>
      <w:r>
        <w:rPr>
          <w:rFonts w:ascii="BPGCond" w:eastAsia="BPGCond" w:hAnsi="BPGCond" w:cs="BPGCond"/>
          <w:color w:val="3C4B64"/>
          <w:sz w:val="19"/>
          <w:szCs w:val="19"/>
          <w:shd w:val="clear" w:color="auto" w:fill="FFFFFF"/>
        </w:rPr>
        <w:t xml:space="preserve">. </w:t>
      </w:r>
      <w:r>
        <w:rPr>
          <w:rFonts w:ascii="BPGCond" w:eastAsia="BPGCond" w:hAnsi="BPGCond" w:cs="BPGCond"/>
          <w:color w:val="3C4B64"/>
          <w:sz w:val="19"/>
          <w:szCs w:val="19"/>
          <w:shd w:val="clear" w:color="auto" w:fill="FFFFFF"/>
          <w:cs/>
          <w:lang w:bidi="ka-GE"/>
        </w:rPr>
        <w:t>დანადგარების სიმძლავრეების დადგენა შესაძლებელია დანადგარის საპასპორტო</w:t>
      </w:r>
      <w:r>
        <w:rPr>
          <w:rFonts w:ascii="BPGCond" w:eastAsia="BPGCond" w:hAnsi="BPGCond" w:cs="BPGCond"/>
          <w:color w:val="3C4B64"/>
          <w:sz w:val="19"/>
          <w:szCs w:val="19"/>
          <w:shd w:val="clear" w:color="auto" w:fill="FFFFFF"/>
        </w:rPr>
        <w:t> </w:t>
      </w:r>
      <w:r>
        <w:rPr>
          <w:rFonts w:ascii="BPGCond" w:eastAsia="BPGCond" w:hAnsi="BPGCond" w:cs="BPGCond"/>
          <w:color w:val="3C4B64"/>
          <w:sz w:val="19"/>
          <w:szCs w:val="19"/>
          <w:shd w:val="clear" w:color="auto" w:fill="FFFFFF"/>
          <w:cs/>
          <w:lang w:bidi="ka-GE"/>
        </w:rPr>
        <w:t>მონაცემების საშუალებით</w:t>
      </w:r>
      <w:r>
        <w:rPr>
          <w:rFonts w:ascii="BPGCond" w:eastAsia="BPGCond" w:hAnsi="BPGCond" w:cs="BPGCond"/>
          <w:color w:val="3C4B64"/>
          <w:sz w:val="19"/>
          <w:szCs w:val="19"/>
          <w:shd w:val="clear" w:color="auto" w:fill="FFFFFF"/>
        </w:rPr>
        <w:t xml:space="preserve">. </w:t>
      </w:r>
      <w:r>
        <w:rPr>
          <w:rFonts w:ascii="BPGCond" w:eastAsia="BPGCond" w:hAnsi="BPGCond" w:cs="BPGCond"/>
          <w:color w:val="3C4B64"/>
          <w:sz w:val="19"/>
          <w:szCs w:val="19"/>
          <w:shd w:val="clear" w:color="auto" w:fill="FFFFFF"/>
          <w:cs/>
          <w:lang w:bidi="ka-GE"/>
        </w:rPr>
        <w:t xml:space="preserve">სიმძლავრე </w:t>
      </w:r>
      <w:r>
        <w:rPr>
          <w:rFonts w:ascii="BPGCond" w:eastAsia="BPGCond" w:hAnsi="BPGCond" w:cs="BPGCond"/>
          <w:color w:val="3C4B64"/>
          <w:sz w:val="19"/>
          <w:szCs w:val="19"/>
          <w:shd w:val="clear" w:color="auto" w:fill="FFFFFF"/>
        </w:rPr>
        <w:t xml:space="preserve">0-6 </w:t>
      </w:r>
      <w:r>
        <w:rPr>
          <w:rFonts w:ascii="BPGCond" w:eastAsia="BPGCond" w:hAnsi="BPGCond" w:cs="BPGCond"/>
          <w:color w:val="3C4B64"/>
          <w:sz w:val="19"/>
          <w:szCs w:val="19"/>
          <w:shd w:val="clear" w:color="auto" w:fill="FFFFFF"/>
          <w:cs/>
          <w:lang w:bidi="ka-GE"/>
        </w:rPr>
        <w:t>მ</w:t>
      </w:r>
      <w:r>
        <w:rPr>
          <w:rFonts w:ascii="BPGCond" w:eastAsia="BPGCond" w:hAnsi="BPGCond" w:cs="BPGCond"/>
          <w:color w:val="3C4B64"/>
          <w:sz w:val="19"/>
          <w:szCs w:val="19"/>
          <w:shd w:val="clear" w:color="auto" w:fill="FFFFFF"/>
        </w:rPr>
        <w:t>3/</w:t>
      </w:r>
      <w:r>
        <w:rPr>
          <w:rFonts w:ascii="BPGCond" w:eastAsia="BPGCond" w:hAnsi="BPGCond" w:cs="BPGCond"/>
          <w:color w:val="3C4B64"/>
          <w:sz w:val="19"/>
          <w:szCs w:val="19"/>
          <w:shd w:val="clear" w:color="auto" w:fill="FFFFFF"/>
          <w:cs/>
          <w:lang w:bidi="ka-GE"/>
        </w:rPr>
        <w:t xml:space="preserve">სთ </w:t>
      </w:r>
      <w:r>
        <w:rPr>
          <w:rFonts w:ascii="BPGCond" w:eastAsia="BPGCond" w:hAnsi="BPGCond" w:cs="BPGCond"/>
          <w:color w:val="3C4B64"/>
          <w:sz w:val="19"/>
          <w:szCs w:val="19"/>
          <w:shd w:val="clear" w:color="auto" w:fill="FFFFFF"/>
        </w:rPr>
        <w:t>-</w:t>
      </w:r>
      <w:r>
        <w:rPr>
          <w:rFonts w:ascii="BPGCond" w:eastAsia="BPGCond" w:hAnsi="BPGCond" w:cs="BPGCond"/>
          <w:color w:val="3C4B64"/>
          <w:sz w:val="19"/>
          <w:szCs w:val="19"/>
          <w:shd w:val="clear" w:color="auto" w:fill="FFFFFF"/>
          <w:cs/>
          <w:lang w:bidi="ka-GE"/>
        </w:rPr>
        <w:t xml:space="preserve">მდე </w:t>
      </w:r>
      <w:r>
        <w:rPr>
          <w:rFonts w:ascii="BPGCond" w:eastAsia="BPGCond" w:hAnsi="BPGCond" w:cs="BPGCond"/>
          <w:color w:val="3C4B64"/>
          <w:sz w:val="19"/>
          <w:szCs w:val="19"/>
          <w:shd w:val="clear" w:color="auto" w:fill="FFFFFF"/>
        </w:rPr>
        <w:t xml:space="preserve">- </w:t>
      </w:r>
      <w:r>
        <w:rPr>
          <w:rFonts w:ascii="BPGCond" w:eastAsia="BPGCond" w:hAnsi="BPGCond" w:cs="BPGCond"/>
          <w:color w:val="3C4B64"/>
          <w:sz w:val="19"/>
          <w:szCs w:val="19"/>
          <w:shd w:val="clear" w:color="auto" w:fill="FFFFFF"/>
          <w:cs/>
          <w:lang w:bidi="ka-GE"/>
        </w:rPr>
        <w:t xml:space="preserve">შესაძლებელია მოიცავდეს ძირითადი საყოფაცოხვრებო მოხმარების დანადგარებს </w:t>
      </w:r>
      <w:r>
        <w:rPr>
          <w:rFonts w:ascii="BPGCond" w:eastAsia="BPGCond" w:hAnsi="BPGCond" w:cs="BPGCond"/>
          <w:color w:val="3C4B64"/>
          <w:sz w:val="19"/>
          <w:szCs w:val="19"/>
          <w:shd w:val="clear" w:color="auto" w:fill="FFFFFF"/>
        </w:rPr>
        <w:t xml:space="preserve">( </w:t>
      </w:r>
      <w:r>
        <w:rPr>
          <w:rFonts w:ascii="BPGCond" w:eastAsia="BPGCond" w:hAnsi="BPGCond" w:cs="BPGCond"/>
          <w:color w:val="3C4B64"/>
          <w:sz w:val="19"/>
          <w:szCs w:val="19"/>
          <w:shd w:val="clear" w:color="auto" w:fill="FFFFFF"/>
          <w:cs/>
          <w:lang w:bidi="ka-GE"/>
        </w:rPr>
        <w:t>მაგალითად</w:t>
      </w:r>
      <w:r>
        <w:rPr>
          <w:rFonts w:ascii="BPGCond" w:eastAsia="BPGCond" w:hAnsi="BPGCond" w:cs="BPGCond"/>
          <w:color w:val="3C4B64"/>
          <w:sz w:val="19"/>
          <w:szCs w:val="19"/>
          <w:shd w:val="clear" w:color="auto" w:fill="FFFFFF"/>
        </w:rPr>
        <w:t>, </w:t>
      </w:r>
      <w:r>
        <w:rPr>
          <w:rFonts w:ascii="BPGCond" w:eastAsia="BPGCond" w:hAnsi="BPGCond" w:cs="BPGCond"/>
          <w:color w:val="3C4B64"/>
          <w:sz w:val="19"/>
          <w:szCs w:val="19"/>
          <w:shd w:val="clear" w:color="auto" w:fill="FFFFFF"/>
          <w:cs/>
          <w:lang w:bidi="ka-GE"/>
        </w:rPr>
        <w:t>გაზქურა და კედლის ქვაბი</w:t>
      </w:r>
      <w:r>
        <w:rPr>
          <w:rFonts w:ascii="BPGCond" w:eastAsia="BPGCond" w:hAnsi="BPGCond" w:cs="BPGCond"/>
          <w:color w:val="3C4B64"/>
          <w:sz w:val="19"/>
          <w:szCs w:val="19"/>
          <w:shd w:val="clear" w:color="auto" w:fill="FFFFFF"/>
        </w:rPr>
        <w:t xml:space="preserve">, </w:t>
      </w:r>
      <w:r>
        <w:rPr>
          <w:rFonts w:ascii="BPGCond" w:eastAsia="BPGCond" w:hAnsi="BPGCond" w:cs="BPGCond"/>
          <w:color w:val="3C4B64"/>
          <w:sz w:val="19"/>
          <w:szCs w:val="19"/>
          <w:shd w:val="clear" w:color="auto" w:fill="FFFFFF"/>
          <w:cs/>
          <w:lang w:bidi="ka-GE"/>
        </w:rPr>
        <w:t>ან გაზქურა</w:t>
      </w:r>
      <w:r>
        <w:rPr>
          <w:rFonts w:ascii="BPGCond" w:eastAsia="BPGCond" w:hAnsi="BPGCond" w:cs="BPGCond"/>
          <w:color w:val="3C4B64"/>
          <w:sz w:val="19"/>
          <w:szCs w:val="19"/>
          <w:shd w:val="clear" w:color="auto" w:fill="FFFFFF"/>
        </w:rPr>
        <w:t xml:space="preserve">, </w:t>
      </w:r>
      <w:r>
        <w:rPr>
          <w:rFonts w:ascii="BPGCond" w:eastAsia="BPGCond" w:hAnsi="BPGCond" w:cs="BPGCond"/>
          <w:color w:val="3C4B64"/>
          <w:sz w:val="19"/>
          <w:szCs w:val="19"/>
          <w:shd w:val="clear" w:color="auto" w:fill="FFFFFF"/>
          <w:cs/>
          <w:lang w:bidi="ka-GE"/>
        </w:rPr>
        <w:t>წყალგამაცხელებელი და საკედლე ბუხარი</w:t>
      </w:r>
      <w:r>
        <w:rPr>
          <w:rFonts w:ascii="BPGCond" w:eastAsia="BPGCond" w:hAnsi="BPGCond" w:cs="BPGCond"/>
          <w:color w:val="3C4B64"/>
          <w:sz w:val="19"/>
          <w:szCs w:val="19"/>
          <w:shd w:val="clear" w:color="auto" w:fill="FFFFFF"/>
        </w:rPr>
        <w:t>)</w:t>
      </w:r>
      <w:r w:rsidR="00E072FB">
        <w:rPr>
          <w:rFonts w:ascii="BPGCond" w:eastAsia="BPGCond" w:hAnsi="BPGCond" w:cs="BPGCond"/>
          <w:color w:val="3C4B64"/>
          <w:sz w:val="19"/>
          <w:szCs w:val="19"/>
          <w:shd w:val="clear" w:color="auto" w:fill="FFFFFF"/>
          <w:lang w:val="ka-GE"/>
        </w:rPr>
        <w:t>.</w:t>
      </w:r>
    </w:p>
    <w:p w14:paraId="2A596320" w14:textId="4D908CB9" w:rsidR="00E072FB" w:rsidRPr="00E072FB" w:rsidRDefault="00E072FB" w:rsidP="004C7849">
      <w:pPr>
        <w:tabs>
          <w:tab w:val="left" w:pos="420"/>
        </w:tabs>
        <w:spacing w:after="200" w:line="259" w:lineRule="atLeast"/>
        <w:jc w:val="both"/>
        <w:rPr>
          <w:rFonts w:ascii="BPGCond" w:eastAsia="BPGCond" w:hAnsi="BPGCond" w:cs="BPGCond"/>
          <w:color w:val="3C4B64"/>
          <w:sz w:val="19"/>
          <w:szCs w:val="19"/>
          <w:shd w:val="clear" w:color="auto" w:fill="FFFFFF"/>
          <w:lang w:val="ka-GE"/>
        </w:rPr>
      </w:pPr>
      <w:r>
        <w:rPr>
          <w:rFonts w:ascii="BPGCond" w:eastAsia="BPGCond" w:hAnsi="BPGCond" w:cs="BPGCond"/>
          <w:color w:val="3C4B64"/>
          <w:sz w:val="19"/>
          <w:szCs w:val="19"/>
          <w:shd w:val="clear" w:color="auto" w:fill="FFFFFF"/>
        </w:rPr>
        <w:t>*</w:t>
      </w:r>
      <w:r>
        <w:rPr>
          <w:rFonts w:ascii="BPGCond" w:eastAsia="BPGCond" w:hAnsi="BPGCond" w:cs="BPGCond"/>
          <w:color w:val="3C4B64"/>
          <w:sz w:val="19"/>
          <w:szCs w:val="19"/>
          <w:shd w:val="clear" w:color="auto" w:fill="FFFFFF"/>
          <w:lang w:val="ka-GE"/>
        </w:rPr>
        <w:t xml:space="preserve"> ფასები ცხრილში მოცემულია ეროვნულ ვალუტაში.</w:t>
      </w:r>
    </w:p>
    <w:p w14:paraId="19D2ECDA" w14:textId="11BC40FF"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rPr>
      </w:pPr>
      <w:r>
        <w:rPr>
          <w:rFonts w:ascii="Sylfaen" w:eastAsia="BPGCond" w:hAnsi="Sylfaen" w:cs="Sylfaen"/>
          <w:sz w:val="22"/>
          <w:szCs w:val="22"/>
          <w:shd w:val="clear" w:color="auto" w:fill="FFFFFF"/>
        </w:rPr>
        <w:t xml:space="preserve">0-6 </w:t>
      </w:r>
      <w:r>
        <w:rPr>
          <w:rFonts w:ascii="Sylfaen" w:eastAsia="BPGCond" w:hAnsi="Sylfaen" w:cs="Sylfaen"/>
          <w:sz w:val="22"/>
          <w:szCs w:val="22"/>
          <w:shd w:val="clear" w:color="auto" w:fill="FFFFFF"/>
          <w:cs/>
          <w:lang w:bidi="ka-GE"/>
        </w:rPr>
        <w:t>კუბ</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მ</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სთ საყოფაც</w:t>
      </w:r>
      <w:r w:rsidR="00D2535B">
        <w:rPr>
          <w:rFonts w:ascii="Sylfaen" w:eastAsia="BPGCond" w:hAnsi="Sylfaen" w:cs="Sylfaen"/>
          <w:sz w:val="22"/>
          <w:szCs w:val="22"/>
          <w:shd w:val="clear" w:color="auto" w:fill="FFFFFF"/>
          <w:lang w:val="ka-GE" w:bidi="ka-GE"/>
        </w:rPr>
        <w:t>ხ</w:t>
      </w:r>
      <w:r>
        <w:rPr>
          <w:rFonts w:ascii="Sylfaen" w:eastAsia="BPGCond" w:hAnsi="Sylfaen" w:cs="Sylfaen"/>
          <w:sz w:val="22"/>
          <w:szCs w:val="22"/>
          <w:shd w:val="clear" w:color="auto" w:fill="FFFFFF"/>
          <w:cs/>
          <w:lang w:bidi="ka-GE"/>
        </w:rPr>
        <w:t>ოვრებო მომხარებლებისათვის</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თქვენი მოთხოვნის შემთხვევაში</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 xml:space="preserve">ასევე უზრუნველყოფს შიდა ქსელის მხოლოდ ერთი წერტილის მოწყობას შპს </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თბილისი ენერჯის</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მიერ დამტკიცებული სტანდარტული პირობით</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რაც გულისხმობს ერთ დანადგარამდე ბუნებრივი გაზის მიწოდებას და დაერთებას ფოლადის მილით</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 xml:space="preserve">აღნიშნული მოთხოვნა საჭიროა თქვენს მიერ დაფიქსირდეს განაცხადის შევსების დროს შესაბამისი ველის მონიშვნით </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გარდა მრავალბინიანი საცხოვრებელი სახლის გამანაწილებელ ქსელზე მიერთების და კორპუსის ერთეული ბინების შემთხვევებისა</w:t>
      </w:r>
      <w:r>
        <w:rPr>
          <w:rFonts w:ascii="Sylfaen" w:eastAsia="BPGCond" w:hAnsi="Sylfaen" w:cs="Sylfaen"/>
          <w:sz w:val="22"/>
          <w:szCs w:val="22"/>
          <w:shd w:val="clear" w:color="auto" w:fill="FFFFFF"/>
        </w:rPr>
        <w:t>).</w:t>
      </w:r>
    </w:p>
    <w:p w14:paraId="3B80390B" w14:textId="41193955"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rPr>
      </w:pPr>
    </w:p>
    <w:p w14:paraId="00CBD857" w14:textId="7FEC41F7"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rPr>
      </w:pPr>
      <w:r>
        <w:rPr>
          <w:rFonts w:ascii="Sylfaen" w:eastAsia="BPGCond" w:hAnsi="Sylfaen" w:cs="Sylfaen"/>
          <w:sz w:val="22"/>
          <w:szCs w:val="22"/>
          <w:shd w:val="clear" w:color="auto" w:fill="FFFFFF"/>
          <w:cs/>
          <w:lang w:bidi="ka-GE"/>
        </w:rPr>
        <w:t xml:space="preserve">თუ აღრიცხვის კვანძი ითვალისწინებს </w:t>
      </w:r>
      <w:r>
        <w:rPr>
          <w:rFonts w:ascii="Sylfaen" w:eastAsia="BPGCond" w:hAnsi="Sylfaen" w:cs="Sylfaen"/>
          <w:sz w:val="22"/>
          <w:szCs w:val="22"/>
          <w:shd w:val="clear" w:color="auto" w:fill="FFFFFF"/>
        </w:rPr>
        <w:t xml:space="preserve">0-6 </w:t>
      </w:r>
      <w:r>
        <w:rPr>
          <w:rFonts w:ascii="Sylfaen" w:eastAsia="BPGCond" w:hAnsi="Sylfaen" w:cs="Sylfaen"/>
          <w:sz w:val="22"/>
          <w:szCs w:val="22"/>
          <w:shd w:val="clear" w:color="auto" w:fill="FFFFFF"/>
          <w:cs/>
          <w:lang w:bidi="ka-GE"/>
        </w:rPr>
        <w:t>კუბ</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მ</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სთ ჭკვიანი მრიცხველის მოწყობას</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მშენებლობის ტექნიკური ზედამხედველობის</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 xml:space="preserve">აღრიცხვის კვანძის მოწყობისა და შეჭრის საფასური შეადგენს </w:t>
      </w:r>
      <w:r>
        <w:rPr>
          <w:rFonts w:ascii="Sylfaen" w:eastAsia="BPGCond" w:hAnsi="Sylfaen" w:cs="Sylfaen"/>
          <w:sz w:val="22"/>
          <w:szCs w:val="22"/>
          <w:shd w:val="clear" w:color="auto" w:fill="FFFFFF"/>
        </w:rPr>
        <w:t xml:space="preserve">800 </w:t>
      </w:r>
      <w:r>
        <w:rPr>
          <w:rFonts w:ascii="Sylfaen" w:eastAsia="BPGCond" w:hAnsi="Sylfaen" w:cs="Sylfaen"/>
          <w:sz w:val="22"/>
          <w:szCs w:val="22"/>
          <w:shd w:val="clear" w:color="auto" w:fill="FFFFFF"/>
          <w:cs/>
          <w:lang w:bidi="ka-GE"/>
        </w:rPr>
        <w:t xml:space="preserve">ლარს </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დღგ</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ის ჩათვლით</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 xml:space="preserve">ჭკვიანი მრიცხველის მოწყობის მსურველი </w:t>
      </w:r>
      <w:r>
        <w:rPr>
          <w:rFonts w:ascii="Sylfaen" w:eastAsia="BPGCond" w:hAnsi="Sylfaen" w:cs="Sylfaen"/>
          <w:sz w:val="22"/>
          <w:szCs w:val="22"/>
          <w:shd w:val="clear" w:color="auto" w:fill="FFFFFF"/>
        </w:rPr>
        <w:t>(</w:t>
      </w:r>
      <w:r>
        <w:rPr>
          <w:rFonts w:ascii="Sylfaen" w:eastAsia="BPGCond" w:hAnsi="Sylfaen" w:cs="Sylfaen"/>
          <w:sz w:val="22"/>
          <w:szCs w:val="22"/>
          <w:shd w:val="clear" w:color="auto" w:fill="FFFFFF"/>
          <w:cs/>
          <w:lang w:bidi="ka-GE"/>
        </w:rPr>
        <w:t>განმცხადებელი</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 xml:space="preserve">ვალდებულია განაცხადის წარდგენამდე წინასწარ გადაიხადოს ჭკვიანი მრიცხველის საფასურის </w:t>
      </w:r>
      <w:r>
        <w:rPr>
          <w:rFonts w:ascii="Sylfaen" w:eastAsia="BPGCond" w:hAnsi="Sylfaen" w:cs="Sylfaen"/>
          <w:sz w:val="22"/>
          <w:szCs w:val="22"/>
          <w:shd w:val="clear" w:color="auto" w:fill="FFFFFF"/>
        </w:rPr>
        <w:t xml:space="preserve">50 </w:t>
      </w:r>
      <w:r>
        <w:rPr>
          <w:rFonts w:ascii="Sylfaen" w:eastAsia="BPGCond" w:hAnsi="Sylfaen" w:cs="Sylfaen"/>
          <w:sz w:val="22"/>
          <w:szCs w:val="22"/>
          <w:shd w:val="clear" w:color="auto" w:fill="FFFFFF"/>
          <w:cs/>
          <w:lang w:bidi="ka-GE"/>
        </w:rPr>
        <w:t>პროცენტი</w:t>
      </w:r>
      <w:r>
        <w:rPr>
          <w:rFonts w:ascii="Sylfaen" w:eastAsia="BPGCond" w:hAnsi="Sylfaen" w:cs="Sylfaen"/>
          <w:sz w:val="22"/>
          <w:szCs w:val="22"/>
          <w:shd w:val="clear" w:color="auto" w:fill="FFFFFF"/>
        </w:rPr>
        <w:t xml:space="preserve">. </w:t>
      </w:r>
      <w:r>
        <w:rPr>
          <w:rFonts w:ascii="Sylfaen" w:eastAsia="BPGCond" w:hAnsi="Sylfaen" w:cs="Sylfaen"/>
          <w:sz w:val="22"/>
          <w:szCs w:val="22"/>
          <w:shd w:val="clear" w:color="auto" w:fill="FFFFFF"/>
          <w:cs/>
          <w:lang w:bidi="ka-GE"/>
        </w:rPr>
        <w:t>დარჩენილი თანხის გადახდა</w:t>
      </w:r>
      <w:r>
        <w:rPr>
          <w:rFonts w:ascii="Sylfaen" w:eastAsia="BPGCond" w:hAnsi="Sylfaen" w:cs="Sylfaen"/>
          <w:sz w:val="22"/>
          <w:szCs w:val="22"/>
          <w:shd w:val="clear" w:color="auto" w:fill="FFFFFF"/>
        </w:rPr>
        <w:t> </w:t>
      </w:r>
      <w:r>
        <w:rPr>
          <w:rFonts w:ascii="Sylfaen" w:eastAsia="BPGCond" w:hAnsi="Sylfaen" w:cs="Sylfaen"/>
          <w:sz w:val="22"/>
          <w:szCs w:val="22"/>
          <w:shd w:val="clear" w:color="auto" w:fill="FFFFFF"/>
          <w:cs/>
          <w:lang w:bidi="ka-GE"/>
        </w:rPr>
        <w:t xml:space="preserve">უნდა მოხდეს ჭკვიანი მრიცხველის მოწყობის თარიღიდან </w:t>
      </w:r>
      <w:r>
        <w:rPr>
          <w:rFonts w:ascii="Sylfaen" w:eastAsia="BPGCond" w:hAnsi="Sylfaen" w:cs="Sylfaen"/>
          <w:sz w:val="22"/>
          <w:szCs w:val="22"/>
          <w:shd w:val="clear" w:color="auto" w:fill="FFFFFF"/>
        </w:rPr>
        <w:t xml:space="preserve">10 </w:t>
      </w:r>
      <w:r>
        <w:rPr>
          <w:rFonts w:ascii="Sylfaen" w:eastAsia="BPGCond" w:hAnsi="Sylfaen" w:cs="Sylfaen"/>
          <w:sz w:val="22"/>
          <w:szCs w:val="22"/>
          <w:shd w:val="clear" w:color="auto" w:fill="FFFFFF"/>
          <w:cs/>
          <w:lang w:bidi="ka-GE"/>
        </w:rPr>
        <w:t>დღის განმავლობაში</w:t>
      </w:r>
      <w:r>
        <w:rPr>
          <w:rFonts w:ascii="Sylfaen" w:eastAsia="BPGCond" w:hAnsi="Sylfaen" w:cs="Sylfaen"/>
          <w:sz w:val="22"/>
          <w:szCs w:val="22"/>
          <w:shd w:val="clear" w:color="auto" w:fill="FFFFFF"/>
        </w:rPr>
        <w:t>.</w:t>
      </w:r>
    </w:p>
    <w:p w14:paraId="25AB9AA4" w14:textId="43584D6F"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rPr>
      </w:pPr>
    </w:p>
    <w:p w14:paraId="2D9F7C95" w14:textId="65D5F6C7"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lang w:val="ka-GE"/>
        </w:rPr>
      </w:pPr>
      <w:r>
        <w:rPr>
          <w:rFonts w:ascii="Sylfaen" w:eastAsia="BPGCond" w:hAnsi="Sylfaen" w:cs="Sylfaen"/>
          <w:sz w:val="22"/>
          <w:szCs w:val="22"/>
          <w:shd w:val="clear" w:color="auto" w:fill="FFFFFF"/>
          <w:lang w:val="ka-GE"/>
        </w:rPr>
        <w:lastRenderedPageBreak/>
        <w:t xml:space="preserve">მიერთების მსურველმა უნდა გაითვალისწინოს, რომ „თბილისი ენერჯი“ </w:t>
      </w:r>
      <w:r w:rsidR="00D2535B">
        <w:rPr>
          <w:rFonts w:ascii="Sylfaen" w:eastAsia="BPGCond" w:hAnsi="Sylfaen" w:cs="Sylfaen"/>
          <w:sz w:val="22"/>
          <w:szCs w:val="22"/>
          <w:shd w:val="clear" w:color="auto" w:fill="FFFFFF"/>
          <w:lang w:val="ka-GE"/>
        </w:rPr>
        <w:t xml:space="preserve">ცხრილში მითითებული საფასურისა და ვადების ფარგლებში უზრუნველყოფს უძრავი ქონების ტერიტორიამდე აღრიცხვის კვანძის (მრიცხველის) მოწყობას და გამანაწილებელ ქსელზე დაერთებას (გარდა ზემოაღნიშნული საგამონაკლისო შემთხვევისა, როდესაც ხდება მხოლოდ 1 (ერთი) წერტილის მოწყობაც). </w:t>
      </w:r>
      <w:r>
        <w:rPr>
          <w:rFonts w:ascii="Sylfaen" w:eastAsia="BPGCond" w:hAnsi="Sylfaen" w:cs="Sylfaen"/>
          <w:sz w:val="22"/>
          <w:szCs w:val="22"/>
          <w:shd w:val="clear" w:color="auto" w:fill="FFFFFF"/>
          <w:lang w:val="ka-GE"/>
        </w:rPr>
        <w:t xml:space="preserve">ფართში გაზის ჩართვა არ მოხდება, თუ მასში არ არის მოწყობილი </w:t>
      </w:r>
      <w:r w:rsidR="00D2535B">
        <w:rPr>
          <w:rFonts w:ascii="Sylfaen" w:eastAsia="BPGCond" w:hAnsi="Sylfaen" w:cs="Sylfaen"/>
          <w:sz w:val="22"/>
          <w:szCs w:val="22"/>
          <w:shd w:val="clear" w:color="auto" w:fill="FFFFFF"/>
          <w:lang w:val="ka-GE"/>
        </w:rPr>
        <w:t>შიდა ქსელი, რომელზეც უნდა დაერთდეს გაზზე მომუშავე თქვენთვის სასურველი დანადგარები.</w:t>
      </w:r>
    </w:p>
    <w:p w14:paraId="380BDAB0" w14:textId="61B823B3" w:rsidR="00D2535B" w:rsidRDefault="00D2535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lang w:val="ka-GE"/>
        </w:rPr>
      </w:pPr>
      <w:r>
        <w:rPr>
          <w:rFonts w:ascii="Sylfaen" w:eastAsia="BPGCond" w:hAnsi="Sylfaen" w:cs="Sylfaen"/>
          <w:sz w:val="22"/>
          <w:szCs w:val="22"/>
          <w:shd w:val="clear" w:color="auto" w:fill="FFFFFF"/>
          <w:lang w:val="ka-GE"/>
        </w:rPr>
        <w:t>შიდა ქსელის მოწყობას კომპანია ახორციელებს შესაბამისი წერილობითი მომართვის საფუძველზე, დამკვეთსა და კომპანიას შორის ურთიერთშეთანხმების საფუძველზე, შესაბამისი სახელშეკრულებო ურთიერთობებით, რომელთა ვადები და საფასური განისაზღვრება ინდივიდუალურად, სამუშაოს მოცულობის, სირთულისა და სხვა ფაქტორების გათვალისწინებით.</w:t>
      </w:r>
    </w:p>
    <w:p w14:paraId="71CC3E67" w14:textId="77777777" w:rsidR="00D2535B" w:rsidRPr="00E072FB" w:rsidRDefault="00D2535B" w:rsidP="00E072FB">
      <w:pPr>
        <w:pStyle w:val="NormalWeb"/>
        <w:shd w:val="clear" w:color="auto" w:fill="FFFFFF"/>
        <w:spacing w:beforeAutospacing="0" w:afterAutospacing="0"/>
        <w:ind w:left="900" w:firstLine="450"/>
        <w:jc w:val="both"/>
        <w:rPr>
          <w:rFonts w:ascii="Sylfaen" w:eastAsia="BPGCond" w:hAnsi="Sylfaen" w:cs="Sylfaen"/>
          <w:sz w:val="22"/>
          <w:szCs w:val="22"/>
          <w:shd w:val="clear" w:color="auto" w:fill="FFFFFF"/>
          <w:lang w:val="ka-GE"/>
        </w:rPr>
      </w:pPr>
    </w:p>
    <w:p w14:paraId="0DCCABEC" w14:textId="77777777"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rPr>
      </w:pPr>
    </w:p>
    <w:p w14:paraId="7FB93FA7" w14:textId="77777777" w:rsidR="00E072FB" w:rsidRDefault="00E072FB" w:rsidP="00E072FB">
      <w:pPr>
        <w:pStyle w:val="NormalWeb"/>
        <w:shd w:val="clear" w:color="auto" w:fill="FFFFFF"/>
        <w:spacing w:beforeAutospacing="0" w:afterAutospacing="0"/>
        <w:ind w:left="900" w:firstLine="450"/>
        <w:jc w:val="both"/>
        <w:rPr>
          <w:rFonts w:ascii="Sylfaen" w:eastAsia="BPGCond" w:hAnsi="Sylfaen" w:cs="Sylfaen"/>
          <w:sz w:val="22"/>
          <w:szCs w:val="22"/>
        </w:rPr>
      </w:pPr>
    </w:p>
    <w:p w14:paraId="4A44EB0A" w14:textId="77777777" w:rsidR="00E072FB" w:rsidRPr="00E072FB" w:rsidRDefault="00E072FB" w:rsidP="004C7849">
      <w:pPr>
        <w:tabs>
          <w:tab w:val="left" w:pos="420"/>
        </w:tabs>
        <w:spacing w:after="200" w:line="259" w:lineRule="atLeast"/>
        <w:jc w:val="both"/>
        <w:rPr>
          <w:rFonts w:ascii="BPGCond" w:eastAsia="BPGCond" w:hAnsi="BPGCond" w:cs="BPGCond"/>
          <w:color w:val="3C4B64"/>
          <w:sz w:val="19"/>
          <w:szCs w:val="19"/>
          <w:shd w:val="clear" w:color="auto" w:fill="FFFFFF"/>
          <w:lang w:val="ka-GE"/>
        </w:rPr>
      </w:pPr>
    </w:p>
    <w:p w14:paraId="11D915E0" w14:textId="77777777" w:rsidR="004C7849" w:rsidRDefault="004C7849" w:rsidP="004C7849">
      <w:pPr>
        <w:spacing w:after="200" w:line="259" w:lineRule="atLeast"/>
        <w:ind w:leftChars="405" w:left="810" w:rightChars="180" w:right="360" w:firstLine="450"/>
        <w:jc w:val="both"/>
        <w:rPr>
          <w:rFonts w:ascii="Sylfaen" w:eastAsiaTheme="majorEastAsia" w:hAnsi="Sylfaen" w:cstheme="majorBidi"/>
          <w:sz w:val="24"/>
          <w:szCs w:val="24"/>
          <w:lang w:val="ka-GE"/>
        </w:rPr>
      </w:pPr>
    </w:p>
    <w:p w14:paraId="2B9D57D1" w14:textId="77777777" w:rsidR="000E4153" w:rsidRDefault="000E4153" w:rsidP="000E4153">
      <w:pPr>
        <w:spacing w:after="200" w:line="259" w:lineRule="atLeast"/>
        <w:ind w:leftChars="405" w:left="1170" w:rightChars="180" w:right="360" w:hanging="360"/>
        <w:jc w:val="both"/>
        <w:rPr>
          <w:rFonts w:ascii="Sylfaen" w:eastAsiaTheme="majorEastAsia" w:hAnsi="Sylfaen" w:cstheme="majorBidi"/>
          <w:sz w:val="24"/>
          <w:szCs w:val="24"/>
          <w:lang w:val="ka-GE"/>
        </w:rPr>
      </w:pPr>
    </w:p>
    <w:p w14:paraId="4628DB51" w14:textId="77777777" w:rsidR="000E4153" w:rsidRPr="000E4153" w:rsidRDefault="000E4153" w:rsidP="000E4153">
      <w:pPr>
        <w:spacing w:after="200" w:line="259" w:lineRule="atLeast"/>
        <w:ind w:leftChars="405" w:left="1170" w:rightChars="180" w:right="360" w:hanging="360"/>
        <w:jc w:val="both"/>
        <w:rPr>
          <w:rFonts w:ascii="Sylfaen" w:eastAsiaTheme="majorEastAsia" w:hAnsi="Sylfaen" w:cstheme="majorBidi"/>
          <w:sz w:val="24"/>
          <w:szCs w:val="24"/>
          <w:lang w:val="ka-GE"/>
        </w:rPr>
      </w:pPr>
    </w:p>
    <w:p w14:paraId="674ED2AC" w14:textId="151920FA" w:rsidR="000E0A19" w:rsidRPr="00481DDD" w:rsidRDefault="000E0A19" w:rsidP="000E4153">
      <w:pPr>
        <w:pStyle w:val="ListParagraph"/>
        <w:spacing w:after="200" w:line="259" w:lineRule="atLeast"/>
        <w:ind w:leftChars="405" w:left="1170" w:rightChars="180" w:right="360" w:hanging="360"/>
        <w:jc w:val="both"/>
        <w:rPr>
          <w:rFonts w:ascii="Sylfaen" w:eastAsiaTheme="majorEastAsia" w:hAnsi="Sylfaen" w:cstheme="majorBidi"/>
          <w:sz w:val="24"/>
          <w:szCs w:val="24"/>
          <w:lang w:val="ka-GE"/>
        </w:rPr>
      </w:pPr>
    </w:p>
    <w:p w14:paraId="61AB6710" w14:textId="77777777" w:rsidR="000E0A19" w:rsidRDefault="000E0A19" w:rsidP="000E4153">
      <w:pPr>
        <w:pStyle w:val="NormalWeb"/>
        <w:shd w:val="clear" w:color="auto" w:fill="FFFFFF"/>
        <w:spacing w:beforeAutospacing="0" w:after="200" w:afterAutospacing="0" w:line="259" w:lineRule="atLeast"/>
        <w:ind w:leftChars="405" w:left="1170" w:rightChars="180" w:right="360" w:hanging="360"/>
        <w:jc w:val="both"/>
        <w:rPr>
          <w:rFonts w:ascii="Sylfaen" w:eastAsiaTheme="majorEastAsia" w:hAnsi="Sylfaen" w:cstheme="majorBidi"/>
          <w:lang w:val="ka-GE"/>
        </w:rPr>
      </w:pPr>
    </w:p>
    <w:p w14:paraId="1FB9BDF4" w14:textId="77777777" w:rsidR="000E0A19" w:rsidRDefault="000E0A19" w:rsidP="000E4153">
      <w:pPr>
        <w:spacing w:after="200" w:line="259" w:lineRule="atLeast"/>
        <w:ind w:leftChars="405" w:left="1170" w:rightChars="180" w:right="360" w:hanging="360"/>
        <w:jc w:val="both"/>
        <w:rPr>
          <w:rFonts w:ascii="Sylfaen" w:eastAsiaTheme="majorEastAsia" w:hAnsi="Sylfaen" w:cstheme="majorBidi"/>
          <w:sz w:val="24"/>
          <w:szCs w:val="24"/>
          <w:lang w:val="ka-GE"/>
        </w:rPr>
      </w:pPr>
    </w:p>
    <w:p w14:paraId="060EDB29" w14:textId="77777777" w:rsidR="00086017" w:rsidRDefault="00086017" w:rsidP="000E4153">
      <w:pPr>
        <w:ind w:leftChars="405" w:left="1170" w:rightChars="180" w:right="360" w:hanging="360"/>
      </w:pPr>
    </w:p>
    <w:sectPr w:rsidR="00086017" w:rsidSect="000E4153">
      <w:pgSz w:w="12240" w:h="15840"/>
      <w:pgMar w:top="1440" w:right="63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BPGC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F82"/>
    <w:multiLevelType w:val="hybridMultilevel"/>
    <w:tmpl w:val="3E3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D71"/>
    <w:multiLevelType w:val="hybridMultilevel"/>
    <w:tmpl w:val="73CE244C"/>
    <w:lvl w:ilvl="0" w:tplc="04090001">
      <w:start w:val="1"/>
      <w:numFmt w:val="bullet"/>
      <w:lvlText w:val=""/>
      <w:lvlJc w:val="left"/>
      <w:pPr>
        <w:ind w:left="-80" w:hanging="360"/>
      </w:pPr>
      <w:rPr>
        <w:rFonts w:ascii="Symbol" w:hAnsi="Symbol" w:hint="default"/>
      </w:rPr>
    </w:lvl>
    <w:lvl w:ilvl="1" w:tplc="04090003" w:tentative="1">
      <w:start w:val="1"/>
      <w:numFmt w:val="bullet"/>
      <w:lvlText w:val="o"/>
      <w:lvlJc w:val="left"/>
      <w:pPr>
        <w:ind w:left="640" w:hanging="360"/>
      </w:pPr>
      <w:rPr>
        <w:rFonts w:ascii="Courier New" w:hAnsi="Courier New" w:cs="Courier New" w:hint="default"/>
      </w:rPr>
    </w:lvl>
    <w:lvl w:ilvl="2" w:tplc="04090005" w:tentative="1">
      <w:start w:val="1"/>
      <w:numFmt w:val="bullet"/>
      <w:lvlText w:val=""/>
      <w:lvlJc w:val="left"/>
      <w:pPr>
        <w:ind w:left="1360" w:hanging="360"/>
      </w:pPr>
      <w:rPr>
        <w:rFonts w:ascii="Wingdings" w:hAnsi="Wingdings" w:hint="default"/>
      </w:rPr>
    </w:lvl>
    <w:lvl w:ilvl="3" w:tplc="04090001" w:tentative="1">
      <w:start w:val="1"/>
      <w:numFmt w:val="bullet"/>
      <w:lvlText w:val=""/>
      <w:lvlJc w:val="left"/>
      <w:pPr>
        <w:ind w:left="2080" w:hanging="360"/>
      </w:pPr>
      <w:rPr>
        <w:rFonts w:ascii="Symbol" w:hAnsi="Symbol" w:hint="default"/>
      </w:rPr>
    </w:lvl>
    <w:lvl w:ilvl="4" w:tplc="04090003" w:tentative="1">
      <w:start w:val="1"/>
      <w:numFmt w:val="bullet"/>
      <w:lvlText w:val="o"/>
      <w:lvlJc w:val="left"/>
      <w:pPr>
        <w:ind w:left="2800" w:hanging="360"/>
      </w:pPr>
      <w:rPr>
        <w:rFonts w:ascii="Courier New" w:hAnsi="Courier New" w:cs="Courier New" w:hint="default"/>
      </w:rPr>
    </w:lvl>
    <w:lvl w:ilvl="5" w:tplc="04090005" w:tentative="1">
      <w:start w:val="1"/>
      <w:numFmt w:val="bullet"/>
      <w:lvlText w:val=""/>
      <w:lvlJc w:val="left"/>
      <w:pPr>
        <w:ind w:left="3520" w:hanging="360"/>
      </w:pPr>
      <w:rPr>
        <w:rFonts w:ascii="Wingdings" w:hAnsi="Wingdings" w:hint="default"/>
      </w:rPr>
    </w:lvl>
    <w:lvl w:ilvl="6" w:tplc="04090001" w:tentative="1">
      <w:start w:val="1"/>
      <w:numFmt w:val="bullet"/>
      <w:lvlText w:val=""/>
      <w:lvlJc w:val="left"/>
      <w:pPr>
        <w:ind w:left="4240" w:hanging="360"/>
      </w:pPr>
      <w:rPr>
        <w:rFonts w:ascii="Symbol" w:hAnsi="Symbol" w:hint="default"/>
      </w:rPr>
    </w:lvl>
    <w:lvl w:ilvl="7" w:tplc="04090003" w:tentative="1">
      <w:start w:val="1"/>
      <w:numFmt w:val="bullet"/>
      <w:lvlText w:val="o"/>
      <w:lvlJc w:val="left"/>
      <w:pPr>
        <w:ind w:left="4960" w:hanging="360"/>
      </w:pPr>
      <w:rPr>
        <w:rFonts w:ascii="Courier New" w:hAnsi="Courier New" w:cs="Courier New" w:hint="default"/>
      </w:rPr>
    </w:lvl>
    <w:lvl w:ilvl="8" w:tplc="04090005" w:tentative="1">
      <w:start w:val="1"/>
      <w:numFmt w:val="bullet"/>
      <w:lvlText w:val=""/>
      <w:lvlJc w:val="left"/>
      <w:pPr>
        <w:ind w:left="5680" w:hanging="360"/>
      </w:pPr>
      <w:rPr>
        <w:rFonts w:ascii="Wingdings" w:hAnsi="Wingdings" w:hint="default"/>
      </w:rPr>
    </w:lvl>
  </w:abstractNum>
  <w:abstractNum w:abstractNumId="2" w15:restartNumberingAfterBreak="0">
    <w:nsid w:val="41F38D75"/>
    <w:multiLevelType w:val="singleLevel"/>
    <w:tmpl w:val="41F38D75"/>
    <w:lvl w:ilvl="0">
      <w:start w:val="1"/>
      <w:numFmt w:val="bullet"/>
      <w:lvlText w:val=""/>
      <w:lvlJc w:val="left"/>
      <w:pPr>
        <w:tabs>
          <w:tab w:val="left" w:pos="420"/>
        </w:tabs>
        <w:ind w:left="420" w:hanging="420"/>
      </w:pPr>
      <w:rPr>
        <w:rFonts w:ascii="Wingdings" w:hAnsi="Wingdings" w:hint="default"/>
      </w:rPr>
    </w:lvl>
  </w:abstractNum>
  <w:num w:numId="1" w16cid:durableId="1354840406">
    <w:abstractNumId w:val="2"/>
  </w:num>
  <w:num w:numId="2" w16cid:durableId="673144349">
    <w:abstractNumId w:val="1"/>
  </w:num>
  <w:num w:numId="3" w16cid:durableId="79082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1C"/>
    <w:rsid w:val="00086017"/>
    <w:rsid w:val="000E0A19"/>
    <w:rsid w:val="000E4153"/>
    <w:rsid w:val="00263EB2"/>
    <w:rsid w:val="00481DDD"/>
    <w:rsid w:val="004C7849"/>
    <w:rsid w:val="00815E07"/>
    <w:rsid w:val="00B123EF"/>
    <w:rsid w:val="00D2535B"/>
    <w:rsid w:val="00DE132A"/>
    <w:rsid w:val="00E072FB"/>
    <w:rsid w:val="00F7085C"/>
    <w:rsid w:val="00FA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BCEE"/>
  <w15:chartTrackingRefBased/>
  <w15:docId w15:val="{0B0C20BC-BBC3-45F1-BA79-BAF6AFDD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19"/>
    <w:pPr>
      <w:spacing w:after="0" w:line="240" w:lineRule="auto"/>
    </w:pPr>
    <w:rPr>
      <w:rFonts w:eastAsiaTheme="minorEastAsia"/>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E0A19"/>
    <w:pPr>
      <w:spacing w:beforeAutospacing="1" w:after="0" w:afterAutospacing="1" w:line="240" w:lineRule="auto"/>
    </w:pPr>
    <w:rPr>
      <w:rFonts w:ascii="Times New Roman" w:eastAsia="SimSun" w:hAnsi="Times New Roman" w:cs="Times New Roman"/>
      <w:kern w:val="0"/>
      <w:sz w:val="24"/>
      <w:szCs w:val="24"/>
      <w:lang w:eastAsia="zh-CN"/>
      <w14:ligatures w14:val="none"/>
    </w:rPr>
  </w:style>
  <w:style w:type="paragraph" w:styleId="ListParagraph">
    <w:name w:val="List Paragraph"/>
    <w:basedOn w:val="Normal"/>
    <w:uiPriority w:val="34"/>
    <w:qFormat/>
    <w:rsid w:val="000E0A19"/>
    <w:pPr>
      <w:ind w:left="720"/>
      <w:contextualSpacing/>
    </w:pPr>
  </w:style>
  <w:style w:type="character" w:styleId="Hyperlink">
    <w:name w:val="Hyperlink"/>
    <w:basedOn w:val="DefaultParagraphFont"/>
    <w:uiPriority w:val="99"/>
    <w:unhideWhenUsed/>
    <w:rsid w:val="00481DDD"/>
    <w:rPr>
      <w:color w:val="0563C1" w:themeColor="hyperlink"/>
      <w:u w:val="single"/>
    </w:rPr>
  </w:style>
  <w:style w:type="character" w:styleId="UnresolvedMention">
    <w:name w:val="Unresolved Mention"/>
    <w:basedOn w:val="DefaultParagraphFont"/>
    <w:uiPriority w:val="99"/>
    <w:semiHidden/>
    <w:unhideWhenUsed/>
    <w:rsid w:val="00481DDD"/>
    <w:rPr>
      <w:color w:val="605E5C"/>
      <w:shd w:val="clear" w:color="auto" w:fill="E1DFDD"/>
    </w:rPr>
  </w:style>
  <w:style w:type="character" w:styleId="Strong">
    <w:name w:val="Strong"/>
    <w:basedOn w:val="DefaultParagraphFont"/>
    <w:qFormat/>
    <w:rsid w:val="00D25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ge/ka/contact.html" TargetMode="External"/><Relationship Id="rId3" Type="http://schemas.openxmlformats.org/officeDocument/2006/relationships/settings" Target="settings.xml"/><Relationship Id="rId7" Type="http://schemas.openxmlformats.org/officeDocument/2006/relationships/hyperlink" Target="https://my.te.ge/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te.ge/android" TargetMode="External"/><Relationship Id="rId5" Type="http://schemas.openxmlformats.org/officeDocument/2006/relationships/hyperlink" Target="https://my.te.ge/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Melano Maisuradze</dc:creator>
  <cp:keywords/>
  <dc:description/>
  <cp:lastModifiedBy>Melano Maisuradze</cp:lastModifiedBy>
  <cp:revision>4</cp:revision>
  <dcterms:created xsi:type="dcterms:W3CDTF">2023-04-27T12:07:00Z</dcterms:created>
  <dcterms:modified xsi:type="dcterms:W3CDTF">2023-04-27T13:11:00Z</dcterms:modified>
</cp:coreProperties>
</file>